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防衛会議の組織及び運営に関する省令</w:t>
        <w:br/>
        <w:t>（平成二十一年防衛省令第十一号）</w:t>
      </w:r>
    </w:p>
    <w:p>
      <w:pPr>
        <w:pStyle w:val="Heading4"/>
      </w:pPr>
      <w:r>
        <w:t>第一条（議長）</w:t>
      </w:r>
    </w:p>
    <w:p>
      <w:r>
        <w:t>防衛会議（以下「会議」という。）の議長は、会務を総理する。</w:t>
      </w:r>
    </w:p>
    <w:p>
      <w:pPr>
        <w:pStyle w:val="Heading4"/>
      </w:pPr>
      <w:r>
        <w:t>第二条（庶務）</w:t>
      </w:r>
    </w:p>
    <w:p>
      <w:r>
        <w:t>会議の庶務は、防衛省大臣官房企画評価課において総括し、及び処理する。</w:t>
      </w:r>
    </w:p>
    <w:p>
      <w:pPr>
        <w:pStyle w:val="Heading4"/>
      </w:pPr>
      <w:r>
        <w:t>第三条（雑則）</w:t>
      </w:r>
    </w:p>
    <w:p>
      <w:r>
        <w:t>この省令に定めるもののほか、議事の手続その他会議の運営に関し必要な事項は、防衛大臣が定める。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この省令は、平成二十一年八月一日から施行する。</w:t>
      </w:r>
    </w:p>
    <w:p>
      <w:r>
        <w:br w:type="page"/>
      </w:r>
    </w:p>
    <w:p>
      <w:pPr>
        <w:pStyle w:val="Heading1"/>
      </w:pPr>
      <w:r>
        <w:t>附　則（平成二七年一〇月一日防衛省令第一七号）</w:t>
      </w:r>
    </w:p>
    <w:p>
      <w:r>
        <w:t>この省令は、平成二十七年十月一日から施行する。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防衛会議の組織及び運営に関する省令</w:t>
      <w:br/>
      <w:tab/>
      <w:t>（平成二十一年防衛省令第十一号）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防衛会議の組織及び運営に関する省令（平成二十一年防衛省令第十一号）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