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防衛施設中央審議会令</w:t>
        <w:br/>
        <w:t>（平成十一年政令第三百六十号）</w:t>
      </w:r>
    </w:p>
    <w:p>
      <w:pPr>
        <w:pStyle w:val="Heading4"/>
      </w:pPr>
      <w:r>
        <w:t>第一条（会長の職務の代理）</w:t>
      </w:r>
    </w:p>
    <w:p>
      <w:r>
        <w:t>防衛施設中央審議会（以下「審議会」という。）の会長に事故があるときは、会長があらかじめ指名する委員が、その職務を代理する。</w:t>
      </w:r>
    </w:p>
    <w:p>
      <w:pPr>
        <w:pStyle w:val="Heading4"/>
      </w:pPr>
      <w:r>
        <w:t>第二条（議事）</w:t>
      </w:r>
    </w:p>
    <w:p>
      <w:r>
        <w:t>審議会は、委員の過半数が出席しなければ、会議を開き、議決をすることができない。</w:t>
      </w:r>
    </w:p>
    <w:p>
      <w:pPr>
        <w:pStyle w:val="Heading5"/>
        <w:ind w:left="440"/>
      </w:pPr>
      <w:r>
        <w:t>２</w:t>
      </w:r>
    </w:p>
    <w:p>
      <w:pPr>
        <w:ind w:left="440"/>
      </w:pPr>
      <w:r>
        <w:t>審議会の議事は、出席した委員の過半数をもって決し、可否同数のときは、会長の決するところによる。</w:t>
      </w:r>
    </w:p>
    <w:p>
      <w:pPr>
        <w:pStyle w:val="Heading4"/>
      </w:pPr>
      <w:r>
        <w:t>第三条（庶務）</w:t>
      </w:r>
    </w:p>
    <w:p>
      <w:r>
        <w:t>審議会の庶務は、防衛省大臣官房文書課において総括し、及び処理する。</w:t>
      </w:r>
    </w:p>
    <w:p>
      <w:pPr>
        <w:pStyle w:val="Heading4"/>
      </w:pPr>
      <w:r>
        <w:t>第四条（雑則）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則（平成一四年四月一日政令第一二四号）</w:t>
      </w:r>
    </w:p>
    <w:p>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防衛施設中央審議会令</w:t>
      <w:br/>
      <w:tab/>
      <w:t>（平成十一年政令第三百六十号）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防衛施設中央審議会令（平成十一年政令第三百六十号）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