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（平成二十八年防衛省令第十六号）</w:t>
      </w:r>
    </w:p>
    <w:p>
      <w:pPr>
        <w:pStyle w:val="Heading4"/>
      </w:pPr>
      <w:r>
        <w:t>第一条（医師又は歯科医師である自衛官の俸給月額の切替え）</w:t>
      </w:r>
    </w:p>
    <w:p>
      <w:r>
        <w:t>平成二十八年四月一日（以下この条において「切替日」という。）の前日において防衛省の職員の給与等に関する法律（昭和二十七年法律第二百六十六号）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切替日における俸給月額は、次の式により算定した額とする。</w:t>
      </w:r>
    </w:p>
    <w:p>
      <w:pPr>
        <w:pStyle w:val="Heading4"/>
      </w:pPr>
      <w:r>
        <w:t>第二条（委任規定）</w:t>
      </w:r>
    </w:p>
    <w:p>
      <w:r>
        <w:t>この省令に定めるもののほか、俸給の切替えに関し必要な事項は、防衛大臣が定める。</w:t>
      </w:r>
    </w:p>
    <w:p>
      <w:r>
        <w:br w:type="page"/>
      </w:r>
    </w:p>
    <w:p>
      <w:pPr>
        <w:pStyle w:val="Heading1"/>
      </w:pPr>
      <w:r>
        <w:t>附　則</w:t>
      </w:r>
    </w:p>
    <w:p>
      <w:r>
        <w:t>この省令は、公布の日から施行し、平成二十八年四月一日から適用する。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（平成二十八年防衛省令第十六号）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防衛省の職員の俸給の切替えに関する省令（平成二十八年防衛省令第十六号）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