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防衛省定員規則</w:t>
        <w:br/>
        <w:t>（平成二十七年防衛省令第十四号）</w:t>
      </w:r>
    </w:p>
    <w:p>
      <w:pPr>
        <w:pStyle w:val="Heading4"/>
      </w:pPr>
      <w:r>
        <w:t>第一条（本省及び防衛装備庁の定員）</w:t>
      </w:r>
    </w:p>
    <w:p>
      <w:r>
        <w:t>防衛省の本省及び防衛装備庁の定員は、次の表のとおりとする。</w:t>
      </w:r>
    </w:p>
    <w:p>
      <w:pPr>
        <w:pStyle w:val="Heading4"/>
      </w:pPr>
      <w:r>
        <w:t>第二条（本省及び防衛装備庁の各内部部局、各審議会等、各施設等機関、各特別の機関及び地方支分部局別の定員）</w:t>
      </w:r>
    </w:p>
    <w:p>
      <w:r>
        <w:t>本省及び防衛装備庁の各内部部局、各審議会等、各施設等機関、各特別の機関及び地方支分部局別の定員は、前条に定める本省又は防衛装備庁の定員の範囲内において、防衛大臣が別に定める。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この省令は、平成二十七年十月一日から施行する。</w:t>
      </w:r>
    </w:p>
    <w:p>
      <w:r>
        <w:br w:type="page"/>
      </w:r>
    </w:p>
    <w:p>
      <w:pPr>
        <w:pStyle w:val="Heading1"/>
      </w:pPr>
      <w:r>
        <w:t>附　則（平成二八年三月三一日防衛省令第九号）</w:t>
      </w:r>
    </w:p>
    <w:p>
      <w:r>
        <w:t>この省令は、平成二十八年四月一日から施行する。</w:t>
      </w:r>
    </w:p>
    <w:p>
      <w:r>
        <w:br w:type="page"/>
      </w:r>
    </w:p>
    <w:p>
      <w:pPr>
        <w:pStyle w:val="Heading1"/>
      </w:pPr>
      <w:r>
        <w:t>附　則（平成二八年九月七日防衛省令第一五号）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則（平成二九年三月三一日防衛省令第四号）</w:t>
      </w:r>
    </w:p>
    <w:p>
      <w:r>
        <w:t>この省令は、平成二十九年四月一日から施行する。</w:t>
      </w:r>
    </w:p>
    <w:p>
      <w:r>
        <w:br w:type="page"/>
      </w:r>
    </w:p>
    <w:p>
      <w:pPr>
        <w:pStyle w:val="Heading1"/>
      </w:pPr>
      <w:r>
        <w:t>附　則（平成三〇年三月三〇日防衛省令第三号）</w:t>
      </w:r>
    </w:p>
    <w:p>
      <w:r>
        <w:t>この省令は、平成三十年四月一日から施行する。</w:t>
      </w:r>
    </w:p>
    <w:p>
      <w:r>
        <w:br w:type="page"/>
      </w:r>
    </w:p>
    <w:p>
      <w:pPr>
        <w:pStyle w:val="Heading1"/>
      </w:pPr>
      <w:r>
        <w:t>附　則（平成三〇年一二月二七日防衛省令第一一号）</w:t>
      </w:r>
    </w:p>
    <w:p>
      <w:r>
        <w:t>この省令は、平成三十一年一月一日から施行する。</w:t>
      </w:r>
    </w:p>
    <w:p>
      <w:r>
        <w:br w:type="page"/>
      </w:r>
    </w:p>
    <w:p>
      <w:pPr>
        <w:pStyle w:val="Heading1"/>
      </w:pPr>
      <w:r>
        <w:t>附　則（平成三一年三月二九日防衛省令第五号）</w:t>
      </w:r>
    </w:p>
    <w:p>
      <w:r>
        <w:t>この省令は、平成三十一年四月一日から施行する。</w:t>
      </w:r>
    </w:p>
    <w:p>
      <w:r>
        <w:br w:type="page"/>
      </w:r>
    </w:p>
    <w:p>
      <w:pPr>
        <w:pStyle w:val="Heading1"/>
      </w:pPr>
      <w:r>
        <w:t>附　則（令和二年三月三一日防衛省令第三号）</w:t>
      </w:r>
    </w:p>
    <w:p>
      <w:r>
        <w:t>この省令は、令和二年四月一日から施行する。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防衛省定員規則</w:t>
      <w:br/>
      <w:tab/>
      <w:t>（平成二十七年防衛省令第十四号）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防衛省定員規則（平成二十七年防衛省令第十四号）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