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防衛省聴聞手続規則</w:t>
        <w:br/>
        <w:t>（平成十九年内閣府令第九号）</w:t>
      </w:r>
    </w:p>
    <w:p>
      <w:pPr>
        <w:pStyle w:val="Heading4"/>
      </w:pPr>
      <w:r>
        <w:t>第一条（趣旨）</w:t>
      </w:r>
    </w:p>
    <w:p>
      <w:r>
        <w:t>防衛大臣、防衛省に置かれる機関の長又は法律の規定に基づきこれらの者から権限を委任された所部の職員が行う不利益処分に係る聴聞の手続については、他の法律及び法律に基づく命令に特別の定めがある場合を除くほか、この省令の定めるところによる。</w:t>
      </w:r>
    </w:p>
    <w:p>
      <w:pPr>
        <w:pStyle w:val="Heading4"/>
      </w:pPr>
      <w:r>
        <w:t>第二条（用語）</w:t>
      </w:r>
    </w:p>
    <w:p>
      <w:r>
        <w:t>この省令で使用する用語は、行政手続法（以下「法」という。）で使用する用語の例による。</w:t>
      </w:r>
    </w:p>
    <w:p>
      <w:pPr>
        <w:pStyle w:val="Heading4"/>
      </w:pPr>
      <w:r>
        <w:t>第三条（聴聞の期日の変更）</w:t>
      </w:r>
    </w:p>
    <w:p>
      <w:r>
        <w:t>行政庁が法第十五条第一項の通知（同条第三項の規定により通知をした場合を含む。）をした場合において、当事者は、やむを得ない理由がある場合には、行政庁に対し、聴聞の期日の変更を申し出ることができる。</w:t>
      </w:r>
    </w:p>
    <w:p>
      <w:pPr>
        <w:pStyle w:val="Heading5"/>
        <w:ind w:left="440"/>
      </w:pPr>
      <w:r>
        <w:t>２</w:t>
      </w:r>
    </w:p>
    <w:p>
      <w:pPr>
        <w:ind w:left="440"/>
      </w:pPr>
      <w:r>
        <w:t>行政庁は、前項の申出により、又は職権により、聴聞の期日を変更することができる。</w:t>
      </w:r>
    </w:p>
    <w:p>
      <w:pPr>
        <w:pStyle w:val="Heading5"/>
        <w:ind w:left="440"/>
      </w:pPr>
      <w:r>
        <w:t>３</w:t>
      </w:r>
    </w:p>
    <w:p>
      <w:pPr>
        <w:ind w:left="440"/>
      </w:pPr>
      <w:r>
        <w:t>行政庁は、前項の規定により聴聞の期日を変更したときは、速やかに、その旨を当事者及び参加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第五条（文書等の閲覧の手続）</w:t>
      </w:r>
    </w:p>
    <w:p>
      <w:r>
        <w:t>法第十八条第一項の規定による閲覧の請求については、当事者等は、その氏名、住所及び閲覧をしようとする資料の標目を記載した書面を行政庁に提出してこれを行うものとする。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行政庁は、法第二十条第六項の規定により聴聞の期日における審理の公開を相当と認めたときは、聴聞の期日、場所及び事案の内容を公示するとともに、当事者及び参加人（その時までに法第十七条第一項の求めを受諾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聴聞の期日に出頭した当事者、参加人、代理人及び補佐人（以下この項において「聴聞関係者」という。）の氏名及び住所並びに行政庁の職員の氏名及び職名</w:t>
      </w:r>
    </w:p>
    <w:p>
      <w:pPr>
        <w:pStyle w:val="Heading6"/>
        <w:ind w:left="880"/>
      </w:pPr>
      <w:r>
        <w:t>五</w:t>
      </w:r>
    </w:p>
    <w:p>
      <w:pPr>
        <w:ind w:left="880"/>
      </w:pPr>
      <w:r>
        <w:t>聴聞の期日に出頭しなかった聴聞関係者の氏名及び住所並びに当該聴聞関係者のうち当事者及び代理人については出頭しなかったことについての正当な理由の有無</w:t>
      </w:r>
    </w:p>
    <w:p>
      <w:pPr>
        <w:pStyle w:val="Heading6"/>
        <w:ind w:left="880"/>
      </w:pPr>
      <w:r>
        <w:t>六</w:t>
      </w:r>
    </w:p>
    <w:p>
      <w:pPr>
        <w:ind w:left="880"/>
      </w:pPr>
      <w:r>
        <w:t>聴聞関係者及び行政庁の職員の陳述（法第二十一条第一項の規定により提出された陳述書における意見の陳述を含む。）の要旨</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第十二条（聴聞調書及び報告書の閲覧の手続）</w:t>
      </w:r>
    </w:p>
    <w:p>
      <w:r>
        <w:t>法第二十四条第四項の規定による閲覧の請求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この府令は、防衛庁設置法等の一部を改正する法律（平成十八年法律第百十八号）の施行の日（平成十九年一月九日）から施行する。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防衛省聴聞手続規則</w:t>
      <w:br/>
      <w:tab/>
      <w:t>（平成十九年内閣府令第九号）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防衛省聴聞手続規則（平成十九年内閣府令第九号）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