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防衛省関係法令に係る情報通信技術を活用した行政の推進等に関する法律施行規則</w:t>
        <w:br/>
        <w:t>（平成十五年内閣府令第六十九号）</w:t>
      </w:r>
    </w:p>
    <w:p>
      <w:pPr>
        <w:pStyle w:val="Heading4"/>
      </w:pPr>
      <w:r>
        <w:t>第一条（趣旨）</w:t>
      </w:r>
    </w:p>
    <w:p>
      <w:r>
        <w:t>行政機関等に対して行うこととされ、又は行政機関等が行うこととしている防衛省関係法令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くほか、この省令の定めるところによる。</w:t>
      </w:r>
    </w:p>
    <w:p>
      <w:pPr>
        <w:pStyle w:val="Heading4"/>
      </w:pPr>
      <w:r>
        <w:t>第二条（定義）</w:t>
      </w:r>
    </w:p>
    <w:p>
      <w:r>
        <w:t>この省令において使用する用語は、法で使用する用語の例による。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防衛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防衛大臣が告示で定めるところにより、次の各号に掲げる事項を前条の申請等をする者の使用に係る電子計算機から入力して、申請等を行わなければならない。</w:t>
      </w:r>
    </w:p>
    <w:p>
      <w:pPr>
        <w:pStyle w:val="Heading6"/>
        <w:ind w:left="880"/>
      </w:pPr>
      <w:r>
        <w:t>一</w:t>
      </w:r>
    </w:p>
    <w:p>
      <w:pPr>
        <w:ind w:left="880"/>
      </w:pPr>
      <w:r>
        <w:t>申請等につき規定した法令の規定において書面等に記載すべきこととされている事項（次号に掲げる事項を除く。）</w:t>
      </w:r>
    </w:p>
    <w:p>
      <w:pPr>
        <w:pStyle w:val="Heading6"/>
        <w:ind w:left="880"/>
      </w:pPr>
      <w:r>
        <w:t>二</w:t>
      </w:r>
    </w:p>
    <w:p>
      <w:pPr>
        <w:ind w:left="880"/>
      </w:pPr>
      <w:r>
        <w:t>当該申請等を行うときに法令の規定に基づき添付すべきこととされている書面等又は電磁的記録に記載され若しくは記録されている事項又は記載すべき若しくは記録すべき事項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申請等を行う者は、第一項の規定により入力する事項についての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w:t>
      </w:r>
    </w:p>
    <w:p>
      <w:pPr>
        <w:pStyle w:val="Heading6"/>
        <w:ind w:left="880"/>
      </w:pPr>
      <w:r>
        <w:t>四</w:t>
      </w:r>
    </w:p>
    <w:p>
      <w:pPr>
        <w:ind w:left="880"/>
      </w:pPr>
      <w:r>
        <w:t>行政機関等が作成する電子証明書</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防衛大臣が告示で定める技術的基準に適合するものとを電気通信回線で接続した電子情報処理組織とする。</w:t>
      </w:r>
    </w:p>
    <w:p>
      <w:pPr>
        <w:pStyle w:val="Heading4"/>
      </w:pPr>
      <w:r>
        <w:t>第七条（電子情報処理組織による処分通知等）</w:t>
      </w:r>
    </w:p>
    <w:p>
      <w:r>
        <w:t>行政機関等は、法第七条第一項の規定により処分通知等を電子情報処理組織を使用する方法により行うときは、当該処分通知等につき規定した法令の規定において書面等に記載すべきこととされている事項を当該行政機関等の使用に係る電子計算機から入力し、当該処分通知等の情報に電子署名を行い、当該電子署名に係る電子証明書を当該処分通知等と併せて当該行政機関等の使用に係る電子計算機に備えられたファイルに記録し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ときから二十四時間以内に当該処分通知等を記録しない場合その他行政機関等が必要と認める場合は、前項の規定にかかわらず、書面等により当該処分通知等を行うことができる。</w:t>
      </w:r>
    </w:p>
    <w:p>
      <w:pPr>
        <w:pStyle w:val="Heading4"/>
      </w:pPr>
      <w:r>
        <w:t>第八条（処分通知等を受ける旨の表示の方式）</w:t>
      </w:r>
    </w:p>
    <w:p>
      <w:r>
        <w:t>法第七条第一項ただし書に規定する主務省令で定める方式は、電子情報処理組織を使用する方法により申請等を行う際に規則第四条第一項に規定する方法により行政機関等へ届け出る方式とする。</w:t>
      </w:r>
    </w:p>
    <w:p>
      <w:pPr>
        <w:pStyle w:val="Heading4"/>
      </w:pPr>
      <w:r>
        <w:t>第九条（処分通知等のうちに電子情報処理組織を使用する方法により行うことが困難又は著しく不適当と認められる部分がある場合）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第十条（電磁的記録による縦覧等）</w:t>
      </w:r>
    </w:p>
    <w:p>
      <w:r>
        <w:t>行政機関等は、法第八条第一項の規定により電磁的記録に記録されている事項又は当該事項を記載した書類により縦覧等を行う場合においては、当該事項をインターネットを利用する方法、行政機関等の事務所に備え置く電子計算機の映像面に表示する方法又は電磁的記録に記録されている事項を記載した書類により縦覧等を行うものとする。</w:t>
      </w:r>
    </w:p>
    <w:p>
      <w:pPr>
        <w:pStyle w:val="Heading4"/>
      </w:pPr>
      <w:r>
        <w:t>第十一条（電磁的記録による作成等）</w:t>
      </w:r>
    </w:p>
    <w:p>
      <w:r>
        <w:t>行政機関等は、法第九条第一項の規定により電磁的記録により作成等を行う場合においては、当該作成等に係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第十二条（氏名等を明らかにする措置）</w:t>
      </w:r>
    </w:p>
    <w:p>
      <w:r>
        <w:t>法第六条第四項に規定する主務省令で定める氏名又は名称を明らかにする措置は、電子情報処理組織を使用する方法により行う申請等を記録した情報に電子署名を行い、第四条第二項各号に掲げる電子証明書のいずれかを当該申請等と併せて送信することをいう。</w:t>
      </w:r>
    </w:p>
    <w:p>
      <w:pPr>
        <w:pStyle w:val="Heading5"/>
        <w:ind w:left="440"/>
      </w:pPr>
      <w:r>
        <w:t>２</w:t>
      </w:r>
    </w:p>
    <w:p>
      <w:pPr>
        <w:ind w:left="440"/>
      </w:pPr>
      <w:r>
        <w:t>法第七条第四項及び第九条第三項に規定する主務省令で定める氏名又は名称を明らかにする措置は、電子情報処理組織を使用する方法により行う処分通知等を記録した情報又は電磁的記録により作成等が行われた情報に電子署名を行い、電子証明書を添付することをいう。</w:t>
      </w:r>
    </w:p>
    <w:p>
      <w:r>
        <w:br w:type="page"/>
      </w:r>
    </w:p>
    <w:p>
      <w:pPr>
        <w:pStyle w:val="Heading1"/>
      </w:pPr>
      <w:r>
        <w:t>附　則</w:t>
      </w:r>
    </w:p>
    <w:p>
      <w:r>
        <w:t>この府令は、平成十五年七月一日から施行する。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則（平成二四年三月三一日防衛省令第七号）</w:t>
      </w:r>
    </w:p>
    <w:p>
      <w:r>
        <w:t>この省令は、平成二十四年四月一日から施行する。</w:t>
      </w:r>
    </w:p>
    <w:p>
      <w:r>
        <w:br w:type="page"/>
      </w:r>
    </w:p>
    <w:p>
      <w:pPr>
        <w:pStyle w:val="Heading1"/>
      </w:pPr>
      <w:r>
        <w:t>附　則（平成二七年一二月二八日防衛省令第二〇号）</w:t>
      </w:r>
    </w:p>
    <w:p>
      <w:r>
        <w:t>この省令は、行政手続における特定の個人を識別するための番号の利用等に関する法律附則第一条第四号に掲げる規定の施行の日（平成二十八年一月一日）から施行する。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則（令和元年一二月一三日防衛省令第九号）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防衛省関係法令に係る情報通信技術を活用した行政の推進等に関する法律施行規則</w:t>
      <w:br/>
      <w:tab/>
      <w:t>（平成十五年内閣府令第六十九号）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防衛省関係法令に係る情報通信技術を活用した行政の推進等に関する法律施行規則（平成十五年内閣府令第六十九号）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