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離島振興法第二十条の地方税の課税免除又は不均一課税に伴う措置が適用される場合等を定める省令</w:t>
        <w:br/>
        <w:t>（平成五年自治省令第一号）</w:t>
      </w:r>
    </w:p>
    <w:p>
      <w:pPr>
        <w:pStyle w:val="Heading4"/>
      </w:pPr>
      <w:r>
        <w:t>第一条（法第二十条に規定する総務省令で定める事業）</w:t>
      </w:r>
    </w:p>
    <w:p>
      <w:r>
        <w:t>離島振興法（以下「法」という。）第二十条に規定する総務省令で定める事業は、次に掲げる事業とする。</w:t>
      </w:r>
    </w:p>
    <w:p>
      <w:pPr>
        <w:pStyle w:val="Heading6"/>
        <w:ind w:left="880"/>
      </w:pPr>
      <w:r>
        <w:t>一</w:t>
      </w:r>
    </w:p>
    <w:p>
      <w:pPr>
        <w:ind w:left="880"/>
      </w:pPr>
      <w:r>
        <w:t>有線放送業</w:t>
      </w:r>
    </w:p>
    <w:p>
      <w:pPr>
        <w:pStyle w:val="Heading6"/>
        <w:ind w:left="880"/>
      </w:pPr>
      <w:r>
        <w:t>二</w:t>
      </w:r>
    </w:p>
    <w:p>
      <w:pPr>
        <w:ind w:left="880"/>
      </w:pPr>
      <w:r>
        <w:t>インターネット附随サービス業</w:t>
      </w:r>
    </w:p>
    <w:p>
      <w:pPr>
        <w:pStyle w:val="Heading6"/>
        <w:ind w:left="880"/>
      </w:pPr>
      <w:r>
        <w:t>三</w:t>
      </w:r>
    </w:p>
    <w:p>
      <w:pPr>
        <w:ind w:left="880"/>
      </w:pPr>
      <w:r>
        <w:t>次に掲げる業務（奄美群島振興開発特別措置法（昭和二十九年法律第百八十九号）第三十八条第一号ハに規定する方法により行うものに限るものとし、情報サービス業及び前二号に掲げる事業に係るものを除く。）及び当該業務により得られた情報の整理又は分析の業務に係る事業</w:t>
      </w:r>
    </w:p>
    <w:p>
      <w:pPr>
        <w:pStyle w:val="Heading6"/>
        <w:ind w:left="880"/>
      </w:pPr>
      <w:r>
        <w:t>四</w:t>
      </w:r>
    </w:p>
    <w:p>
      <w:pPr>
        <w:ind w:left="880"/>
      </w:pPr>
      <w:r>
        <w:t>法第二条第一項の離島振興対策実施地域において生産された農林水産物又は当該農林水産物を原料若しくは材料として製造、加工若しくは調理したものを店舗において主に当該地域以外の者に販売することを目的とする事業</w:t>
      </w:r>
    </w:p>
    <w:p>
      <w:pPr>
        <w:pStyle w:val="Heading4"/>
      </w:pPr>
      <w:r>
        <w:t>第二条（法第二十条に規定する総務省令で定める場合）</w:t>
      </w:r>
    </w:p>
    <w:p>
      <w:r>
        <w:t>法第二十条に規定する総務省令で定める場合は、次の各号に掲げる税目の区分に応じ、当該各号に定める場合とする。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第三条（対象設備に係る所得金額等の計算方法）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第四条（法第二十条に規定する総務省令で定める期間に係る年度）</w:t>
      </w:r>
    </w:p>
    <w:p>
      <w:r>
        <w:t>法第二十条に規定する総務省令で定める期間に係る年度は、事業税の課税免除又は不均一課税をした最初の年度から五箇年度とする。</w:t>
      </w:r>
    </w:p>
    <w:p>
      <w:r>
        <w:br w:type="page"/>
      </w:r>
    </w:p>
    <w:p>
      <w:pPr>
        <w:pStyle w:val="Heading1"/>
      </w:pPr>
      <w:r>
        <w:t>附　則</w:t>
      </w:r>
    </w:p>
    <w:p>
      <w:r>
        <w:t>この省令は、平成五年四月一日から施行する。</w:t>
      </w:r>
    </w:p>
    <w:p>
      <w:r>
        <w:br w:type="page"/>
      </w:r>
    </w:p>
    <w:p>
      <w:pPr>
        <w:pStyle w:val="Heading1"/>
      </w:pPr>
      <w:r>
        <w:t>附　則（平成七年三月二七日自治省令第八号）</w:t>
      </w:r>
    </w:p>
    <w:p>
      <w:r>
        <w:t>この省令は、平成七年四月一日から施行する。</w:t>
      </w:r>
    </w:p>
    <w:p>
      <w:r>
        <w:br w:type="page"/>
      </w:r>
    </w:p>
    <w:p>
      <w:pPr>
        <w:pStyle w:val="Heading1"/>
      </w:pPr>
      <w:r>
        <w:t>附　則（平成九年三月二八日自治省令第一四号）</w:t>
      </w:r>
    </w:p>
    <w:p>
      <w:r>
        <w:t>この省令は、平成九年四月一日から施行する。</w:t>
      </w:r>
    </w:p>
    <w:p>
      <w:pPr>
        <w:pStyle w:val="Heading5"/>
        <w:ind w:left="440"/>
      </w:pPr>
      <w:r>
        <w:t>５</w:t>
      </w:r>
    </w:p>
    <w:p>
      <w:pPr>
        <w:ind w:left="440"/>
      </w:pPr>
      <w:r>
        <w:t>第八条の規定による改正後の離島振興法第十九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５</w:t>
      </w:r>
    </w:p>
    <w:p>
      <w:pPr>
        <w:ind w:left="440"/>
      </w:pPr>
      <w:r>
        <w:t>第七条の規定による改正後の離島振興法第十九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則（平成一五年三月三一日総務省令第五九号）</w:t>
      </w:r>
    </w:p>
    <w:p>
      <w:r>
        <w:t>この省令は、平成十五年四月一日から施行する。</w:t>
      </w:r>
    </w:p>
    <w:p>
      <w:pPr>
        <w:pStyle w:val="Heading5"/>
        <w:ind w:left="440"/>
      </w:pPr>
      <w:r>
        <w:t>４</w:t>
      </w:r>
    </w:p>
    <w:p>
      <w:pPr>
        <w:ind w:left="440"/>
      </w:pPr>
      <w:r>
        <w:t>第五条の規定による改正後の離島振興法第二十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則（平成一九年三月三〇日総務省令第四七号）</w:t>
      </w:r>
    </w:p>
    <w:p>
      <w:r>
        <w:t>この省令は、平成十九年四月一日から施行する。</w:t>
      </w:r>
    </w:p>
    <w:p>
      <w:pPr>
        <w:pStyle w:val="Heading5"/>
        <w:ind w:left="440"/>
      </w:pPr>
      <w:r>
        <w:t>２</w:t>
      </w:r>
    </w:p>
    <w:p>
      <w:pPr>
        <w:ind w:left="440"/>
      </w:pPr>
      <w:r>
        <w:t>第二条の規定による改正後の離島振興法第二十条の地方税の課税免除又は不均一課税に伴う措置が適用される場合等を定める省令第一条第一項の規定は、施行日以後に新設され、又は増設される設備について適用し、施行日前に新設され、又は増設された設備については、なお従前の例によ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pPr>
        <w:pStyle w:val="Heading5"/>
        <w:ind w:left="440"/>
      </w:pPr>
      <w:r>
        <w:t>２</w:t>
      </w:r>
    </w:p>
    <w:p>
      <w:pPr>
        <w:ind w:left="440"/>
      </w:pPr>
      <w:r>
        <w:t>第二条の規定による改正後の離島振興法第二十条の地方税の課税免除又は不均一課税に伴う措置が適用される場合等を定める省令第一条から第四条までの規定は、施行日以後に新設され、又は増設される設備について適用し、施行日前に新設され、又は増設された設備については、なお従前の例による。</w:t>
      </w:r>
    </w:p>
    <w:p>
      <w:r>
        <w:br w:type="page"/>
      </w:r>
    </w:p>
    <w:p>
      <w:pPr>
        <w:pStyle w:val="Heading1"/>
      </w:pPr>
      <w:r>
        <w:t>附　則（平成二六年三月三一日総務省令第三五号）</w:t>
      </w:r>
    </w:p>
    <w:p>
      <w:r>
        <w:t>この省令は、平成二十六年四月一日から施行する。</w:t>
      </w:r>
    </w:p>
    <w:p>
      <w:r>
        <w:br w:type="page"/>
      </w:r>
    </w:p>
    <w:p>
      <w:pPr>
        <w:pStyle w:val="Heading1"/>
      </w:pPr>
      <w:r>
        <w:t>附　則（平成二七年三月三一日総務省令第三九号）</w:t>
      </w:r>
    </w:p>
    <w:p>
      <w:r>
        <w:t>この省令は、平成二十七年四月一日から施行する。</w:t>
      </w:r>
    </w:p>
    <w:p>
      <w:pPr>
        <w:pStyle w:val="Heading5"/>
        <w:ind w:left="440"/>
      </w:pPr>
      <w:r>
        <w:t>３</w:t>
      </w:r>
    </w:p>
    <w:p>
      <w:pPr>
        <w:ind w:left="440"/>
      </w:pPr>
      <w:r>
        <w:t>第二条の規定による改正後の離島振興法第二十条の地方税の課税免除又は不均一課税に伴う措置が適用される場合等を定める省令第一条及び第二条の規定は、この省令の施行の日（以下「施行日」という。）以後に新設され、又は増設される設備について適用し、施行日前に新設され、又は増設された設備については、なお従前の例によ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離島振興法第二十条の地方税の課税免除又は不均一課税に伴う措置が適用される場合等を定める省令</w:t>
      <w:br/>
      <w:tab/>
      <w:t>（平成五年自治省令第一号）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離島振興法第二十条の地方税の課税免除又は不均一課税に伴う措置が適用される場合等を定める省令（平成五年自治省令第一号）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