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雨水の利用の推進に関する法律第二条第二項の法人を定める政令</w:t>
        <w:br/>
        <w:t>（平成二十六年政令第百七十二号）</w:t>
      </w:r>
    </w:p>
    <w:p>
      <w:r>
        <w:t>雨水の利用の推進に関する法律第二条第二項の政令で定める法人は、次のとおりとする。</w:t>
      </w:r>
    </w:p>
    <w:p>
      <w:pPr>
        <w:pStyle w:val="Heading6"/>
        <w:ind w:left="880"/>
      </w:pPr>
      <w:r>
        <w:t>一</w:t>
      </w:r>
    </w:p>
    <w:p>
      <w:pPr>
        <w:ind w:left="880"/>
      </w:pPr>
      <w: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Heading6"/>
        <w:ind w:left="880"/>
      </w:pPr>
      <w:r>
        <w:t>二</w:t>
      </w:r>
    </w:p>
    <w:p>
      <w:pPr>
        <w:ind w:left="880"/>
      </w:pPr>
      <w:r>
        <w:t>日本私立学校振興・共済事業団</w:t>
      </w:r>
    </w:p>
    <w:p>
      <w:pPr>
        <w:pStyle w:val="Heading6"/>
        <w:ind w:left="880"/>
      </w:pPr>
      <w:r>
        <w:t>三</w:t>
      </w:r>
    </w:p>
    <w:p>
      <w:pPr>
        <w:ind w:left="880"/>
      </w:pPr>
      <w:r>
        <w:t>沖縄振興開発金融公庫</w:t>
      </w:r>
    </w:p>
    <w:p>
      <w:pPr>
        <w:pStyle w:val="Heading6"/>
        <w:ind w:left="880"/>
      </w:pPr>
      <w:r>
        <w:t>四</w:t>
      </w:r>
    </w:p>
    <w:p>
      <w:pPr>
        <w:ind w:left="880"/>
      </w:pPr>
      <w:r>
        <w:t>株式会社国際協力銀行及び株式会社日本政策金融公庫</w:t>
      </w:r>
    </w:p>
    <w:p>
      <w:pPr>
        <w:pStyle w:val="Heading6"/>
        <w:ind w:left="880"/>
      </w:pPr>
      <w:r>
        <w:t>五</w:t>
      </w:r>
    </w:p>
    <w:p>
      <w:pPr>
        <w:ind w:left="880"/>
      </w:pPr>
      <w:r>
        <w:t>日本中央競馬会及び日本年金機構</w:t>
      </w:r>
    </w:p>
    <w:p>
      <w:r>
        <w:br w:type="page"/>
      </w:r>
    </w:p>
    <w:p>
      <w:pPr>
        <w:pStyle w:val="Heading1"/>
      </w:pPr>
      <w:r>
        <w:t>附　則</w:t>
      </w:r>
    </w:p>
    <w:p>
      <w:r>
        <w:t>この政令は、雨水の利用の推進に関する法律の施行の日（平成二十六年五月一日）から施行する。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pPr>
        <w:pStyle w:val="Heading5"/>
        <w:ind w:left="440"/>
      </w:pPr>
      <w:r>
        <w:t>２</w:t>
      </w:r>
    </w:p>
    <w:p>
      <w:pPr>
        <w:ind w:left="440"/>
      </w:pPr>
      <w:r>
        <w:t>この政令の施行の日から平成三十年三月三十一日までの間における第三条の規定による改正後の国家公務員退職手当法施行令第九条の二第百八十五号の規定の適用については、同号中「教育公務員特例法等の一部を改正する法律」とあるのは、「教育公務員特例法等の一部を改正する法律（平成二十八年法律第八十七号）」とする。</w:t>
      </w:r>
    </w:p>
    <w:p>
      <w:pPr>
        <w:pStyle w:val="Heading5"/>
        <w:ind w:left="440"/>
      </w:pPr>
      <w:r>
        <w:t>３</w:t>
      </w:r>
    </w:p>
    <w:p>
      <w:pPr>
        <w:ind w:left="440"/>
      </w:pPr>
      <w:r>
        <w:t>国家戦略特別区域法施行令（平成二十六年政令第九十九号）の一部を次のように改正する。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雨水の利用の推進に関する法律第二条第二項の法人を定める政令</w:t>
      <w:br/>
      <w:tab/>
      <w:t>（平成二十六年政令第百七十二号）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雨水の利用の推進に関する法律第二条第二項の法人を定める政令（平成二十六年政令第百七十二号）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