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電子情報処理組織による登記事務処理の円滑化のための措置等に関する法律施行細則</w:t>
        <w:br/>
        <w:t>（平成十五年法務省令第二十五号）</w:t>
      </w:r>
    </w:p>
    <w:p>
      <w:pPr>
        <w:pStyle w:val="Heading5"/>
        <w:ind w:left="440"/>
      </w:pPr>
      <w:r>
        <w:t>１</w:t>
      </w:r>
    </w:p>
    <w:p>
      <w:pPr>
        <w:ind w:left="440"/>
      </w:pPr>
      <w:r>
        <w:t>電子情報処理組織による登記事務処理の円滑化のための措置等に関する法律（昭和六十年法律第三十三号）第三条第二項の送付に要する費用は、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に関する料金の支払のために使用することができる証票であつて法務大臣の指定するもので納付しなければならない。</w:t>
      </w:r>
    </w:p>
    <w:p>
      <w:pPr>
        <w:pStyle w:val="Heading5"/>
        <w:ind w:left="440"/>
      </w:pPr>
      <w:r>
        <w:t>２</w:t>
      </w:r>
    </w:p>
    <w:p>
      <w:pPr>
        <w:ind w:left="440"/>
      </w:pPr>
      <w:r>
        <w:t>前項の指定は、告示してしなければならない。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電子情報処理組織による登記事務処理の円滑化のための措置等に関する法律施行細則</w:t>
      <w:br/>
      <w:tab/>
      <w:t>（平成十五年法務省令第二十五号）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電子情報処理組織による登記事務処理の円滑化のための措置等に関する法律施行細則（平成十五年法務省令第二十五号）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