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電子消費者契約に関する民法の特例に関する法律</w:t>
        <w:br/>
        <w:t>（平成十三年法律第九十五号）</w:t>
      </w:r>
    </w:p>
    <w:p>
      <w:pPr>
        <w:pStyle w:val="Heading4"/>
      </w:pPr>
      <w:r>
        <w:t>第一条（趣旨）</w:t>
      </w:r>
    </w:p>
    <w:p>
      <w:r>
        <w:t>この法律は、消費者が行う電子消費者契約の申込み又はその承諾の意思表示について特定の錯誤があった場合に関し民法（明治二十九年法律第八十九号）の特例を定めるものとする。</w:t>
      </w:r>
    </w:p>
    <w:p>
      <w:pPr>
        <w:pStyle w:val="Heading4"/>
      </w:pPr>
      <w:r>
        <w:t>第二条（定義）</w:t>
      </w:r>
    </w:p>
    <w:p>
      <w:r>
        <w:t>この法律において「電子消費者契約」とは、消費者と事業者との間で電磁的方法により電子計算機の映像面を介して締結される契約であって、事業者又はその委託を受けた者が当該映像面に表示する手続に従って消費者がその使用する電子計算機を用いて送信することによってその申込み又はその承諾の意思表示を行うものをいう。</w:t>
      </w:r>
    </w:p>
    <w:p>
      <w:pPr>
        <w:pStyle w:val="Heading5"/>
        <w:ind w:left="440"/>
      </w:pPr>
      <w:r>
        <w:t>２</w:t>
      </w:r>
    </w:p>
    <w:p>
      <w:pPr>
        <w:ind w:left="440"/>
      </w:pPr>
      <w:r>
        <w:t>この法律において「消費者」とは、個人（事業として又は事業のために契約の当事者となる場合におけるものを除く。）をいい、「事業者」とは、法人その他の団体及び事業として又は事業のために契約の当事者となる場合における個人をいう。</w:t>
      </w:r>
    </w:p>
    <w:p>
      <w:pPr>
        <w:pStyle w:val="Heading5"/>
        <w:ind w:left="440"/>
      </w:pPr>
      <w:r>
        <w:t>３</w:t>
      </w:r>
    </w:p>
    <w:p>
      <w:pPr>
        <w:ind w:left="440"/>
      </w:pPr>
      <w:r>
        <w:t>この法律において「電磁的方法」とは、電子情報処理組織を使用する方法その他の情報通信の技術を利用する方法をいう。</w:t>
      </w:r>
    </w:p>
    <w:p>
      <w:pPr>
        <w:pStyle w:val="Heading4"/>
      </w:pPr>
      <w:r>
        <w:t>第三条（電子消費者契約に関する民法の特例）</w:t>
      </w:r>
    </w:p>
    <w:p>
      <w:r>
        <w:t>民法第九十五条第三項の規定は、消費者が行う電子消費者契約の申込み又はその承諾の意思表示について、その意思表示が同条第一項第一号に掲げる錯誤に基づくものであって、その錯誤が法律行為の目的及び取引上の社会通念に照らして重要なものであり、かつ、次のいずれかに該当するときは、適用しない。</w:t>
        <w:br/>
        <w:t>ただし、当該電子消費者契約の相手方である事業者（その委託を受けた者を含む。以下同じ。）が、当該申込み又はその承諾の意思表示に際して、電磁的方法によりその映像面を介して、その消費者の申込み若しくはその承諾の意思表示を行う意思の有無について確認を求める措置を講じた場合又はその消費者から当該事業者に対して当該措置を講ずる必要がない旨の意思の表明があった場合は、この限りでない。</w:t>
      </w:r>
    </w:p>
    <w:p>
      <w:pPr>
        <w:pStyle w:val="ListBullet"/>
        <w:ind w:left="880"/>
      </w:pPr>
      <w:r>
        <w:t>一</w:t>
        <w:br/>
        <w:t>消費者がその使用する電子計算機を用いて送信した時に当該事業者との間で電子消費者契約の申込み又はその承諾の意思表示を行う意思がなかったとき。</w:t>
      </w:r>
    </w:p>
    <w:p>
      <w:pPr>
        <w:pStyle w:val="ListBullet"/>
        <w:ind w:left="880"/>
      </w:pPr>
      <w:r>
        <w:t>二</w:t>
        <w:br/>
        <w:t>消費者がその使用する電子計算機を用いて送信した時に当該電子消費者契約の申込み又はその承諾の意思表示と異なる内容の意思表示を行う意思があったとき。</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この法律の施行前にその申込み又はその承諾の意思表示を行った電子消費者契約については、なお従前の例による。</w:t>
      </w:r>
    </w:p>
    <w:p>
      <w:pPr>
        <w:pStyle w:val="Heading4"/>
      </w:pPr>
      <w:r>
        <w:t>第三条</w:t>
      </w:r>
    </w:p>
    <w:p>
      <w:r>
        <w:t>この法律の施行前に隔地者間の契約において発した電子承諾通知については、なお従前の例による。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電子消費者契約に関する民法の特例に関する法律</w:t>
      <w:br/>
      <w:tab/>
      <w:t>（平成十三年法律第九十五号）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電子消費者契約に関する民法の特例に関する法律（平成十三年法律第九十五号）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