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電子計算機を使用して作成する国税関係帳簿書類の保存方法等の特例に関する法律施行令</w:t>
        <w:br/>
        <w:t>（令和三年政令第百二十八号）</w:t>
      </w:r>
    </w:p>
    <w:p>
      <w:pPr>
        <w:pStyle w:val="Heading4"/>
      </w:pPr>
      <w:r>
        <w:t>第一条（定義）</w:t>
      </w:r>
    </w:p>
    <w:p>
      <w:r>
        <w:t>この政令において「保存義務者」とは、電子計算機を使用して作成する国税関係帳簿書類の保存方法等の特例に関する法律（以下「法」という。）第二条第四号に規定する保存義務者をいう。</w:t>
      </w:r>
    </w:p>
    <w:p>
      <w:pPr>
        <w:pStyle w:val="Heading4"/>
      </w:pPr>
      <w:r>
        <w:t>第二条（軽減された過少申告加算税の対象となる国税関係帳簿に係る電磁的記録等の備付け等が行われる日）</w:t>
      </w:r>
    </w:p>
    <w:p>
      <w:r>
        <w:t>法第八条第四項に規定する政令で定める日は、同項の修正申告書又は更正に係る課税期間（国税通則法（昭和三十七年法律第六十六号）第二条第九号（定義）に規定する課税期間をいう。以下この条において同じ。）の初日（新たに業務を開始した個人の当該業務を開始した日の属する課税期間については、同日）とする。</w:t>
      </w:r>
    </w:p>
    <w:p>
      <w:pPr>
        <w:pStyle w:val="Heading4"/>
      </w:pPr>
      <w:r>
        <w:t>第三条（軽減された過少申告加算税を課さない部分の税額の計算）</w:t>
      </w:r>
    </w:p>
    <w:p>
      <w:r>
        <w:t>法第八条第四項に規定する電磁的記録等に記録された事項に係るもの以外の事実に基づく税額として政令で定めるところにより計算した金額は、国税通則法第六十五条（過少申告加算税）の過少申告加算税の額の計算の基礎となるべき税額のうち同項に規定する税額の計算の基礎となるべき事実で同項に規定する電磁的記録等に記録された事項に係るもの以外の事実のみに基づいて同項に規定する修正申告等があったものとした場合における当該修正申告等に基づき同法第三十五条第二項（申告納税方式による国税等の納付）の規定により納付すべき税額とする。</w:t>
      </w:r>
    </w:p>
    <w:p>
      <w:pPr>
        <w:pStyle w:val="Heading4"/>
      </w:pPr>
      <w:r>
        <w:t>第四条（加重された重加算税が課される部分の税額の計算）</w:t>
      </w:r>
    </w:p>
    <w:p>
      <w:r>
        <w:t>法第八条第五項に規定する電磁的記録に記録された事項に係る事実に基づく税額として政令で定めるところにより計算した金額は、国税通則法第六十五条から第六十七条まで（過少申告加算税等）の過少申告加算税の額、無申告加算税の額又は不納付加算税の額の計算の基礎となるべき税額のうち次の各号に掲げる場合の区分に応じ当該各号に定める税額とする。</w:t>
      </w:r>
    </w:p>
    <w:p>
      <w:pPr>
        <w:pStyle w:val="Heading6"/>
        <w:ind w:left="880"/>
      </w:pPr>
      <w:r>
        <w:t>一</w:t>
      </w:r>
    </w:p>
    <w:p>
      <w:pPr>
        <w:ind w:left="880"/>
      </w:pPr>
      <w:r>
        <w:t>国税通則法第六十八条第一項から第三項まで（重加算税）に規定する隠蔽し、又は仮装されていない事実（以下この号において「隠蔽仮装されていない事実」という。）がある場合</w:t>
      </w:r>
    </w:p>
    <w:p>
      <w:pPr>
        <w:pStyle w:val="Heading6"/>
        <w:ind w:left="880"/>
      </w:pPr>
      <w:r>
        <w:t>二</w:t>
      </w:r>
    </w:p>
    <w:p>
      <w:pPr>
        <w:ind w:left="880"/>
      </w:pPr>
      <w:r>
        <w:t>前号に掲げる場合以外の場合</w:t>
      </w:r>
    </w:p>
    <w:p>
      <w:pPr>
        <w:pStyle w:val="Heading4"/>
      </w:pPr>
      <w:r>
        <w:t>第五条（国税通則法等の規定の適用）</w:t>
      </w:r>
    </w:p>
    <w:p>
      <w:r>
        <w:t>法第八条第五項の規定の適用がある場合における次の表の第一欄に掲げる法令の適用については、同表の第二欄に掲げる規定中同表の第三欄に掲げる字句は、同表の第四欄に掲げる字句とする。</w:t>
      </w:r>
    </w:p>
    <w:p>
      <w:pPr>
        <w:pStyle w:val="Heading4"/>
      </w:pPr>
      <w:r>
        <w:t>第六条（財務省令への委任）</w:t>
      </w:r>
    </w:p>
    <w:p>
      <w:r>
        <w:t>この政令に定めるもののほか、法第八条第四項及び第五項の規定の適用に関し必要な事項は、財務省令で定める。</w:t>
      </w:r>
    </w:p>
    <w:p>
      <w:r>
        <w:br w:type="page"/>
      </w:r>
    </w:p>
    <w:p>
      <w:pPr>
        <w:pStyle w:val="Heading1"/>
      </w:pPr>
      <w:r>
        <w:t>附　則</w:t>
      </w:r>
    </w:p>
    <w:p>
      <w:r>
        <w:t>この政令は、令和四年一月一日から施行する。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電子計算機を使用して作成する国税関係帳簿書類の保存方法等の特例に関する法律施行令</w:t>
      <w:br/>
      <w:tab/>
      <w:t>（令和三年政令第百二十八号）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電子計算機を使用して作成する国税関係帳簿書類の保存方法等の特例に関する法律施行令（令和三年政令第百二十八号）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