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電気通信紛争処理委員会事務局組織規則</w:t>
        <w:br/>
        <w:t>（平成十三年総務省令第百五十四号）</w:t>
      </w:r>
    </w:p>
    <w:p>
      <w:r>
        <w:t>電気通信紛争処理委員会の事務局に、紛争処理調査官を置く。</w:t>
      </w:r>
    </w:p>
    <w:p>
      <w:pPr>
        <w:pStyle w:val="Heading5"/>
        <w:ind w:left="440"/>
      </w:pPr>
      <w:r>
        <w:t>２</w:t>
      </w:r>
    </w:p>
    <w:p>
      <w:pPr>
        <w:ind w:left="440"/>
      </w:pPr>
      <w:r>
        <w:t>紛争処理調査官は、命を受けて、電気通信事業、電波の利用又は放送の業務に係る紛争の処理に関する重要事項についての調査、企画及び立案を行う。</w:t>
      </w:r>
    </w:p>
    <w:p>
      <w:r>
        <w:br w:type="page"/>
      </w:r>
    </w:p>
    <w:p>
      <w:pPr>
        <w:pStyle w:val="Heading1"/>
      </w:pPr>
      <w:r>
        <w:t>附　則</w:t>
      </w:r>
    </w:p>
    <w:p>
      <w:r>
        <w:t>この省令は、電気通信事業法等の一部を改正する法律（平成十三年法律第六十二号）の施行の日（平成十三年十一月三十日）から施行する。</w:t>
      </w:r>
    </w:p>
    <w:p>
      <w:r>
        <w:br w:type="page"/>
      </w:r>
    </w:p>
    <w:p>
      <w:pPr>
        <w:pStyle w:val="Heading1"/>
      </w:pPr>
      <w:r>
        <w:t>附　則（平成二〇年三月二六日総務省令第三二号）</w:t>
      </w:r>
    </w:p>
    <w:p>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　則（平成二三年六月二九日総務省令第七八号）</w:t>
      </w:r>
    </w:p>
    <w:p>
      <w:r>
        <w:t>この省令は、放送法等の一部を改正する法律（平成二十二年法律第六十五号）の施行の日（平成二十三年六月三十日）から施行する。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電気通信紛争処理委員会事務局組織規則</w:t>
      <w:br/>
      <w:tab/>
      <w:t>（平成十三年総務省令第百五十四号）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電気通信紛争処理委員会事務局組織規則（平成十三年総務省令第百五十四号）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