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風致地区内における建築等の規制に係る条例の制定に関する基準を定める政令</w:t>
        <w:br/>
        <w:t>（昭和四十四年政令第三百十七号）</w:t>
      </w:r>
    </w:p>
    <w:p>
      <w:pPr>
        <w:pStyle w:val="Heading4"/>
      </w:pPr>
      <w:r>
        <w:t>第一条（趣旨）</w:t>
      </w:r>
    </w:p>
    <w:p>
      <w:r>
        <w:t>風致地区内における建築物の建築、宅地の造成、木竹の伐採その他の行為の規制に係る条例の制定に関する基準に関しては、この政令の定めるところによる。</w:t>
      </w:r>
    </w:p>
    <w:p>
      <w:pPr>
        <w:pStyle w:val="Heading4"/>
      </w:pPr>
      <w:r>
        <w:t>第二条（地方公共団体の条例）</w:t>
      </w:r>
    </w:p>
    <w:p>
      <w:r>
        <w:t>都市計画法第五十八条第一項の規定に基づく条例は、面積が十ヘクタール以上の風致地区（二以上の市町村（都の特別区を含む。以下同じ。）の区域にわたるものに限る。以下同じ。）に係るものにあつては都道府県が、その他の風致地区に係るものにあつては市町村が定めるものとする。</w:t>
      </w:r>
    </w:p>
    <w:p>
      <w:pPr>
        <w:pStyle w:val="Heading4"/>
      </w:pPr>
      <w:r>
        <w:t>第三条（行為の制限）</w:t>
      </w:r>
    </w:p>
    <w:p>
      <w:r>
        <w:t>風致地区内においては、次に掲げる行為は、あらかじめ、面積が十ヘクタール以上の風致地区にあつては都道府県知事（市（都の特別区を含む。以下同じ。）の区域内にあつては、当該市の長。以下「都道府県知事等」という。）、その他の風致地区にあつては市町村の長の許可を受けなければならないものとする。</w:t>
        <w:br/>
        <w:t>ただし、都市計画事業の施行として行う行為、国、都道府県若しくは市町村又は当該都市計画施設を管理することとなる者が当該都市施設又は市街地開発事業に関する都市計画に適合して行う行為、非常災害のため必要な応急措置として行う行為及び通常の管理行為、軽易な行為その他の行為で条例で定めるものについては、この限りでないものとする。</w:t>
      </w:r>
    </w:p>
    <w:p>
      <w:pPr>
        <w:pStyle w:val="ListBullet"/>
        <w:ind w:left="880"/>
      </w:pPr>
      <w:r>
        <w:t>一</w:t>
        <w:br/>
        <w:t>建築物の建築その他工作物の建設</w:t>
      </w:r>
    </w:p>
    <w:p>
      <w:pPr>
        <w:pStyle w:val="ListBullet"/>
        <w:ind w:left="880"/>
      </w:pPr>
      <w:r>
        <w:t>二</w:t>
        <w:br/>
        <w:t>建築物その他の工作物（以下「建築物等」という。）の色彩の変更</w:t>
      </w:r>
    </w:p>
    <w:p>
      <w:pPr>
        <w:pStyle w:val="ListBullet"/>
        <w:ind w:left="880"/>
      </w:pPr>
      <w:r>
        <w:t>三</w:t>
        <w:br/>
        <w:t>宅地の造成、土地の開墾その他の土地の形質の変更（以下「宅地の造成等」という。）</w:t>
      </w:r>
    </w:p>
    <w:p>
      <w:pPr>
        <w:pStyle w:val="ListBullet"/>
        <w:ind w:left="880"/>
      </w:pPr>
      <w:r>
        <w:t>四</w:t>
        <w:br/>
        <w:t>水面の埋立て又は干拓</w:t>
      </w:r>
    </w:p>
    <w:p>
      <w:pPr>
        <w:pStyle w:val="ListBullet"/>
        <w:ind w:left="880"/>
      </w:pPr>
      <w:r>
        <w:t>五</w:t>
        <w:br/>
        <w:t>木竹の伐採</w:t>
      </w:r>
    </w:p>
    <w:p>
      <w:pPr>
        <w:pStyle w:val="ListBullet"/>
        <w:ind w:left="880"/>
      </w:pPr>
      <w:r>
        <w:t>六</w:t>
        <w:br/>
        <w:t>土石の類の採取</w:t>
      </w:r>
    </w:p>
    <w:p>
      <w:pPr>
        <w:pStyle w:val="ListBullet"/>
        <w:ind w:left="880"/>
      </w:pPr>
      <w:r>
        <w:t>七</w:t>
        <w:b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積</w:t>
      </w:r>
    </w:p>
    <w:p>
      <w:pPr>
        <w:pStyle w:val="ListBullet"/>
        <w:ind w:left="880"/>
      </w:pPr>
      <w:r>
        <w:t>八</w:t>
        <w:br/>
        <w:t>前各号に掲げるもののほか、都市の風致の維持に影響を及ぼすおそれのあるものとして条例で定める行為</w:t>
      </w:r>
    </w:p>
    <w:p>
      <w:pPr>
        <w:pStyle w:val="Heading5"/>
        <w:ind w:left="440"/>
      </w:pPr>
      <w:r>
        <w:t>２</w:t>
      </w:r>
    </w:p>
    <w:p>
      <w:pPr>
        <w:ind w:left="440"/>
      </w:pPr>
      <w:r>
        <w:t>国、都道府県又は市町村（面積が十ヘクタール以上の風致地区にあつては、国、都道府県、市又は地方自治法（昭和二十二年法律第六十七号）第二百五十二条の十七の二第一項の規定に基づきこの政令の規定により都道府県知事の権限に属する事務の全部を処理することとされた町村。以下この項において「国等」と総称する。）の機関が行う行為については、前項の許可を受けることを要しないものとする。</w:t>
        <w:br/>
        <w:t>この場合において、当該国等の機関は、その行為をしようとするときは、あらかじめ、面積が十ヘクタール以上の風致地区にあつては都道府県知事等、その他の風致地区にあつては市町村の長に協議しなければならないものとする。</w:t>
      </w:r>
    </w:p>
    <w:p>
      <w:pPr>
        <w:pStyle w:val="Heading5"/>
        <w:ind w:left="440"/>
      </w:pPr>
      <w:r>
        <w:t>３</w:t>
      </w:r>
    </w:p>
    <w:p>
      <w:pPr>
        <w:ind w:left="440"/>
      </w:pPr>
      <w:r>
        <w:t>次に掲げる行為及びこれらに類する行為で都市の風致の維持に著しい支障を及ぼすおそれがないものとして条例で定めるものについては、第一項の許可を受け、又は前項の規定による協議をすることを要しないものとする。</w:t>
        <w:br/>
        <w:t>この場合において、これらの行為をしようとする者は、あらかじめ、面積が十ヘクタール以上の風致地区にあつては都道府県知事等、その他の風致地区にあつては市町村の長にその旨を通知しなければならないものとする。</w:t>
      </w:r>
    </w:p>
    <w:p>
      <w:pPr>
        <w:pStyle w:val="ListBullet"/>
        <w:ind w:left="880"/>
      </w:pPr>
      <w:r>
        <w:t>一</w:t>
        <w:br/>
        <w:t>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の保存に係る行為又は鉱物の掘採に係る行為（都市の風致の維持上支障があると認めて条例で定めるものを除く。）</w:t>
      </w:r>
    </w:p>
    <w:p>
      <w:pPr>
        <w:pStyle w:val="ListBullet"/>
        <w:ind w:left="880"/>
      </w:pPr>
      <w:r>
        <w:t>二</w:t>
        <w:br/>
        <w:t>道路、鉄道若しくは軌道、国若しくは地方公共団体が行う通信業務、認定電気通信事業（電気通信事業法（昭和五十九年法律第八十六号）第百二十条第一項に規定する認定電気通信事業をいう。）若しくは基幹放送（放送法（昭和二十五年法律第百三十二号）第二条第二号に規定する基幹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その他都市の風致の維持に著しい支障を及ぼすおそれがあると認めて条例で定めるものを除く。）</w:t>
      </w:r>
    </w:p>
    <w:p>
      <w:pPr>
        <w:pStyle w:val="Heading4"/>
      </w:pPr>
      <w:r>
        <w:t>第四条（許可の基準）</w:t>
      </w:r>
    </w:p>
    <w:p>
      <w:r>
        <w:t>都道府県知事等又は市町村の長は、前条第一項各号に掲げる行為で次に定める基準（第一号イ、ロ若しくはハ又は第四号イ若しくはハ（1）に掲げる基準にあつては、周辺の土地の状況により風致の維持上これらの基準による必要がないと認められる場合を除く。）及びその他の都市の風致を維持するため必要なものとして条例で定める基準に適合するものについては、同項の許可をするものとする。</w:t>
      </w:r>
    </w:p>
    <w:p>
      <w:pPr>
        <w:pStyle w:val="ListBullet"/>
        <w:ind w:left="880"/>
      </w:pPr>
      <w:r>
        <w:t>一</w:t>
        <w:br/>
        <w:t>建築物の建築については、次に該当するものであること。</w:t>
        <w:br/>
        <w:t>ただし、仮設の建築物及び地下に設ける建築物については、この限りでない。</w:t>
      </w:r>
    </w:p>
    <w:p>
      <w:pPr>
        <w:pStyle w:val="ListBullet"/>
        <w:ind w:left="880"/>
      </w:pPr>
      <w:r>
        <w:t>二</w:t>
        <w:br/>
        <w:t>建築物以外の工作物の建設については、当該工作物の位置、規模、形態及び意匠が、当該建設の行われる土地及びその周辺の土地の区域における風致と著しく不調和でないこと。</w:t>
        <w:br/>
        <w:t>ただし、仮設の工作物及び地下に設ける工作物については、この限りでない。</w:t>
      </w:r>
    </w:p>
    <w:p>
      <w:pPr>
        <w:pStyle w:val="ListBullet"/>
        <w:ind w:left="880"/>
      </w:pPr>
      <w:r>
        <w:t>三</w:t>
        <w:br/>
        <w:t>建築物等の色彩の変更については、当該変更後の色彩が、当該変更の行われる建築物等の存する土地及びその周辺の土地の区域における風致と著しく不調和でないこと。</w:t>
      </w:r>
    </w:p>
    <w:p>
      <w:pPr>
        <w:pStyle w:val="ListBullet"/>
        <w:ind w:left="880"/>
      </w:pPr>
      <w:r>
        <w:t>四</w:t>
        <w:br/>
        <w:t>宅地の造成等については、次に該当するものであること。</w:t>
      </w:r>
    </w:p>
    <w:p>
      <w:pPr>
        <w:pStyle w:val="ListBullet"/>
        <w:ind w:left="880"/>
      </w:pPr>
      <w:r>
        <w:t>五</w:t>
        <w:br/>
        <w:t>水面の埋立て又は干拓については、次に該当するものであること。</w:t>
      </w:r>
    </w:p>
    <w:p>
      <w:pPr>
        <w:pStyle w:val="ListBullet"/>
        <w:ind w:left="880"/>
      </w:pPr>
      <w:r>
        <w:t>六</w:t>
        <w:br/>
        <w:t>木竹の伐採のうち森林の皆伐については、伐採後の成林が確実であると認められるものであり、かつ、伐採区域の面積が一ヘクタールを超えないこと。</w:t>
      </w:r>
    </w:p>
    <w:p>
      <w:pPr>
        <w:pStyle w:val="ListBullet"/>
        <w:ind w:left="880"/>
      </w:pPr>
      <w:r>
        <w:t>七</w:t>
        <w:br/>
        <w:t>土石の類の採取については、採取の方法が、採取を行う土地及びその周辺の土地の区域における風致の維持に支障を及ぼすおそれが少ないこと。</w:t>
      </w:r>
    </w:p>
    <w:p>
      <w:pPr>
        <w:pStyle w:val="ListBullet"/>
        <w:ind w:left="880"/>
      </w:pPr>
      <w:r>
        <w:t>八</w:t>
        <w:br/>
        <w:t>屋外における土石、廃棄物又は再生資源の堆積については、堆積を行う土地及びその周辺の土地の区域における風致の維持に支障を及ぼすおそれが少ないこと。</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都市計画法第五十八条第一項の規定に基づく条例の施行の際旧都市計画法施行令（大正八年勅令第四百八十二号）第十三条の規定による都道府県知事の命令の規定又はこれに基づく処分に附した条件に違反している者に対する違反是正のための措置（第二条第一項ただし書、同条第二項又は同条第三項に規定するものに係るものを除く。）については、なお従前の例によ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第三条（風致地区内における建築等の規制の基準を定める政令の一部改正に伴う経過措置）</w:t>
      </w:r>
    </w:p>
    <w:p>
      <w:r>
        <w:t>この政令の施行の際現に効力を有する旧都市計画法第五十八条第一項の規定に基づく条例は、施行日から起算して三年を経過する日までの間は、第二条の規定による改正後の風致地区内における建築等の規制に係る条例の制定に関する基準を定める政令に規定する基準に従ったものとみなす。</w:t>
        <w:br/>
        <w:t>ただし、その日以前に、都道府県（地方自治法（昭和二十二年法律第六十七号）第二百五十二条の十九第一項の指定都市（以下この条において単に「指定都市」という。）の区域においては、指定都市）が当該基準に従った条例の制定及び施行をしたときは面積が十ヘクタール以上の風致地区に係る部分、市町村（都の特別区を含む。）が当該基準に従った条例の制定及び施行をしたときは当該市町村の区域における面積が十ヘクタール未満の風致地区に係る部分については、それぞれ当該条例の施行の日以後は、この限りでない。</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第六条（風致地区内における建築等の規制に係る条例の制定に関する基準を定める政令の一部改正に伴う経過措置）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線路の設置又は管理に係る行為については、第二十三条の規定による改正後の風致地区内における建築等の規制に係る条例の制定に関する基準を定める政令第三条第三項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pPr>
        <w:pStyle w:val="Heading4"/>
      </w:pPr>
      <w:r>
        <w:t>第二条（風致地区内における建築等の規制に係る条例の制定に関する基準を定める政令の一部改正に伴う経過措置）</w:t>
      </w:r>
    </w:p>
    <w:p>
      <w:r>
        <w:t>第十四条の規定の施行の際現に効力を有する都市計画法第五十八条第一項の規定に基づく条例（都道府県が定めたものに限る。以下この条において「現条例」という。）は、第十四条の規定の施行の日から起算して三年を経過する日までの間は、同条の規定による改正後の風致地区内における建築等の規制に係る条例の制定に関する基準を定める政令（以下この条において「新令」という。）で定める基準に従ったものとみなす。</w:t>
        <w:br/>
        <w:t>ただし、その日以前に、都道府県が新令で定める基準に従った条例の制定及び施行をしたときは現条例のうち面積が十ヘクタール以上の風致地区（二以上の市町村（都の特別区を含む。以下この条において同じ。）の区域にわたるものに限る。）に係る部分、市町村が新令で定める基準に従った条例の制定及び施行をしたときは現条例のうち当該市町村の区域における面積が十ヘクタール以上の風致地区に係る部分については、それぞれ当該新令で定める基準に従った条例の施行の日以後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風致地区内における建築等の規制に係る条例の制定に関する基準を定める政令</w:t>
      <w:br/>
      <w:tab/>
      <w:t>（昭和四十四年政令第三百十七号）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風致地区内における建築等の規制に係る条例の制定に関する基準を定める政令（昭和四十四年政令第三百十七号）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