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食品の製造過程の管理の高度化に関する臨時措置法施行令</w:t>
        <w:br/>
        <w:t>（平成十年政令第二百三十二号）</w:t>
      </w:r>
    </w:p>
    <w:p>
      <w:pPr>
        <w:pStyle w:val="Heading4"/>
      </w:pPr>
      <w:r>
        <w:t>第一条（株式会社日本政策金融公庫からの資金の貸付けの利率等）</w:t>
      </w:r>
    </w:p>
    <w:p>
      <w:r>
        <w:t>食品の製造過程の管理の高度化に関する臨時措置法（以下「法」という。）第十条第二項の政令で定める利率、償還期限及び据置期間の範囲は、利率については最高年八分五厘、償還期限については据置期間を含め十五年、据置期間については三年とする。</w:t>
      </w:r>
    </w:p>
    <w:p>
      <w:pPr>
        <w:pStyle w:val="Heading4"/>
      </w:pPr>
      <w:r>
        <w:t>第二条（事業協同組合その他の法人）</w:t>
      </w:r>
    </w:p>
    <w:p>
      <w:r>
        <w:t>法第十五条第二号の政令で定める法人は、次のとおりとする。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事業協同組合及び協同組合連合会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商工組合及び商工組合連合会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農業協同組合連合会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漁業協同組合連合会、水産加工業協同組合及び水産加工業協同組合連合会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森林組合連合会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この政令は、法の施行の日（平成十年七月一日）から施行する。</w:t>
      </w:r>
    </w:p>
    <w:p>
      <w:r>
        <w:br w:type="page"/>
      </w:r>
    </w:p>
    <w:p>
      <w:pPr>
        <w:pStyle w:val="Heading1"/>
      </w:pPr>
      <w:r>
        <w:t>附　則（平成二〇年六月二〇日政令第一九八号）</w:t>
      </w:r>
    </w:p>
    <w:p>
      <w:r>
        <w:t>この政令は、平成二十年七月一日から施行する。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食品の製造過程の管理の高度化に関する臨時措置法施行令</w:t>
      <w:br/>
      <w:tab/>
      <w:t>（平成十年政令第二百三十二号）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食品の製造過程の管理の高度化に関する臨時措置法施行令（平成十年政令第二百三十二号）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