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食品等の流通の合理化及び取引の適正化に関する法律施行令</w:t>
        <w:br/>
        <w:t>（平成三年政令第二百五十六号）</w:t>
      </w:r>
    </w:p>
    <w:p>
      <w:r>
        <w:t>食品等の流通の合理化及び取引の適正化に関する法律（平成三年法律第五十九号）第七条第二項の政令で定める利率、償還期限及び据置期間の範囲は、利率については最高年八分五厘、償還期限については据置期間を含め十五年、据置期間については三年とする。</w:t>
      </w:r>
    </w:p>
    <w:p>
      <w:r>
        <w:br w:type="page"/>
      </w:r>
    </w:p>
    <w:p>
      <w:pPr>
        <w:pStyle w:val="Heading1"/>
      </w:pPr>
      <w:r>
        <w:t>附　則</w:t>
      </w:r>
    </w:p>
    <w:p>
      <w:r>
        <w:t>この政令は、法の施行の日（平成三年八月一日）から施行する。</w:t>
      </w:r>
    </w:p>
    <w:p>
      <w:r>
        <w:br w:type="page"/>
      </w:r>
    </w:p>
    <w:p>
      <w:pPr>
        <w:pStyle w:val="Heading1"/>
      </w:pPr>
      <w:r>
        <w:t>附　則（平成一一年七月二六日政令第二三三号）</w:t>
      </w:r>
    </w:p>
    <w:p>
      <w:r>
        <w:t>この政令は、公布の日から施行する。</w:t>
      </w:r>
    </w:p>
    <w:p>
      <w:r>
        <w:br w:type="page"/>
      </w:r>
    </w:p>
    <w:p>
      <w:pPr>
        <w:pStyle w:val="Heading1"/>
      </w:pPr>
      <w:r>
        <w:t>附　則（平成一二年七月二七日政令第三九九号）</w:t>
      </w:r>
    </w:p>
    <w:p>
      <w:pPr>
        <w:pStyle w:val="Heading4"/>
      </w:pPr>
      <w:r>
        <w:t>第一条（施行期日）</w:t>
      </w:r>
    </w:p>
    <w:p>
      <w:r>
        <w:t>この政令は、食品流通構造改善促進法の一部を改正する法律の施行の日（平成十二年八月一日）から施行する。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食品等の流通の合理化及び取引の適正化に関する法律施行令</w:t>
      <w:br/>
      <w:tab/>
      <w:t>（平成三年政令第二百五十六号）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食品等の流通の合理化及び取引の適正化に関する法律施行令（平成三年政令第二百五十六号）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