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食品等の流通の合理化及び取引の適正化に関する法律第七条第一項第二号の農林水産省令・財務省令で定める農林漁業者の組織する法人を定める省令</w:t>
        <w:br/>
        <w:t>（平成三十年財務省・農林水産省令第三号）</w:t>
      </w:r>
    </w:p>
    <w:p>
      <w:r>
        <w:t>食品等の流通の合理化及び取引の適正化に関する法律第七条第一項第二号の農林水産省令・財務省令で定める農林漁業者の組織する法人は、次に掲げる法人とする。</w:t>
      </w:r>
    </w:p>
    <w:p>
      <w:pPr>
        <w:pStyle w:val="Heading6"/>
        <w:ind w:left="880"/>
      </w:pPr>
      <w:r>
        <w:t>一</w:t>
      </w:r>
    </w:p>
    <w:p>
      <w:pPr>
        <w:ind w:left="880"/>
      </w:pPr>
      <w:r>
        <w:t>農業協同組合、農業協同組合連合会及び農事組合法人</w:t>
      </w:r>
    </w:p>
    <w:p>
      <w:pPr>
        <w:pStyle w:val="Heading6"/>
        <w:ind w:left="880"/>
      </w:pPr>
      <w:r>
        <w:t>二</w:t>
      </w:r>
    </w:p>
    <w:p>
      <w:pPr>
        <w:ind w:left="880"/>
      </w:pPr>
      <w:r>
        <w:t>漁業協同組合及び漁業協同組合連合会</w:t>
      </w:r>
    </w:p>
    <w:p>
      <w:pPr>
        <w:pStyle w:val="Heading6"/>
        <w:ind w:left="880"/>
      </w:pPr>
      <w:r>
        <w:t>三</w:t>
      </w:r>
    </w:p>
    <w:p>
      <w:pPr>
        <w:ind w:left="880"/>
      </w:pPr>
      <w:r>
        <w:t>森林組合及び森林組合連合会</w:t>
      </w:r>
    </w:p>
    <w:p>
      <w:pPr>
        <w:pStyle w:val="Heading6"/>
        <w:ind w:left="880"/>
      </w:pPr>
      <w:r>
        <w:t>四</w:t>
      </w:r>
    </w:p>
    <w:p>
      <w:pPr>
        <w:ind w:left="880"/>
      </w:pPr>
      <w:r>
        <w:t>前三号に掲げるもののほか、農林漁業者又はこれらの号に掲げる法人の出資又は拠出に係る法人であって、農林漁業の振興を図ることを目的とするもの</w:t>
      </w:r>
    </w:p>
    <w:p>
      <w:r>
        <w:br w:type="page"/>
      </w:r>
    </w:p>
    <w:p>
      <w:pPr>
        <w:pStyle w:val="Heading1"/>
      </w:pPr>
      <w:r>
        <w:t>附　則</w:t>
      </w:r>
    </w:p>
    <w:p>
      <w:r>
        <w:t>この省令は、卸売市場法及び食品流通構造改善促進法の一部を改正する法律（平成三十年法律第六十二号）の施行の日（平成三十年十月二十二日）から施行する。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食品等の流通の合理化及び取引の適正化に関する法律第七条第一項第二号の農林水産省令・財務省令で定める農林漁業者の組織する法人を定める省令</w:t>
      <w:br/>
      <w:tab/>
      <w:t>（平成三十年財務省・農林水産省令第三号）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食品等の流通の合理化及び取引の適正化に関する法律第七条第一項第二号の農林水産省令・財務省令で定める農林漁業者の組織する法人を定める省令（平成三十年財務省・農林水産省令第三号）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