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駐留軍労働者等に支払うべき給料その他の給与の支払事務の処理の特例に関する法律</w:t>
        <w:br/>
        <w:t>（昭和二十五年法律第五号）</w:t>
      </w:r>
    </w:p>
    <w:p>
      <w:pPr>
        <w:pStyle w:val="Heading5"/>
        <w:ind w:left="440"/>
      </w:pPr>
      <w:r>
        <w:t>１</w:t>
      </w:r>
    </w:p>
    <w:p>
      <w:pPr>
        <w:ind w:left="440"/>
      </w:pPr>
      <w:r>
        <w:t>政府は、日本国とアメリカ合衆国との間の相互協力及び安全保障条約に基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若しくは日本国とアメリカ合衆国との間の相互防衛援助協定に基くアメリカ合衆国政府の責務を本邦において遂行する同国政府の職員又は日本国における国際連合の軍隊の地位に関する協定に基き本邦の領域内にある国際連合の軍隊のために労務に服する者及び公共事業に関する経費で財務大臣が指定するものによる公共事業に使用される労務者に支払うべき給料その他の給与（以下「給与金」という。）の支払について特に必要があるときは、その事務の一部を銀行（日本銀行を除く。以下同じ。）に委託して取り扱わせることができる。</w:t>
      </w:r>
    </w:p>
    <w:p>
      <w:pPr>
        <w:pStyle w:val="Heading5"/>
        <w:ind w:left="440"/>
      </w:pPr>
      <w:r>
        <w:t>２</w:t>
      </w:r>
    </w:p>
    <w:p>
      <w:pPr>
        <w:ind w:left="440"/>
      </w:pPr>
      <w:r>
        <w:t>前項の規定による給与金の支払の事務の一部を銀行に委託する場合の手続及び給与金の支払に関し必要な手続は、財務省令で定める。</w:t>
      </w:r>
    </w:p>
    <w:p>
      <w:r>
        <w:br w:type="page"/>
      </w:r>
    </w:p>
    <w:p>
      <w:pPr>
        <w:pStyle w:val="Heading1"/>
      </w:pPr>
      <w:r>
        <w:t>附　則</w:t>
      </w:r>
    </w:p>
    <w:p>
      <w:r>
        <w:t>この法律は、公布の日から施行する。</w:t>
      </w:r>
    </w:p>
    <w:p>
      <w:r>
        <w:br w:type="page"/>
      </w:r>
    </w:p>
    <w:p>
      <w:pPr>
        <w:pStyle w:val="Heading1"/>
      </w:pPr>
      <w:r>
        <w:t>附則（昭和二七年六月一〇日法律第一七四号）</w:t>
      </w:r>
    </w:p>
    <w:p>
      <w:pPr>
        <w:pStyle w:val="Heading5"/>
        <w:ind w:left="440"/>
      </w:pPr>
      <w:r>
        <w:t>１</w:t>
      </w:r>
    </w:p>
    <w:p>
      <w:pPr>
        <w:ind w:left="440"/>
      </w:pPr>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r>
        <w:br w:type="page"/>
      </w:r>
    </w:p>
    <w:p>
      <w:pPr>
        <w:pStyle w:val="Heading1"/>
      </w:pPr>
      <w:r>
        <w:t>附則（昭和二八年七月八日法律第五五号）</w:t>
      </w:r>
    </w:p>
    <w:p>
      <w:r>
        <w:t>この法律は、昭和二十八年七月十日から施行する。</w:t>
      </w:r>
    </w:p>
    <w:p>
      <w:r>
        <w:br w:type="page"/>
      </w:r>
    </w:p>
    <w:p>
      <w:pPr>
        <w:pStyle w:val="Heading1"/>
      </w:pPr>
      <w:r>
        <w:t>附則（昭和二九年五月一日法律第八五号）</w:t>
      </w:r>
    </w:p>
    <w:p>
      <w:r>
        <w:t>この法律は、公布の日から施行する。</w:t>
        <w:br/>
        <w:t>但し、国際連合の軍隊に係る改正の部分は、日本国における国際連合の軍隊の地位に関する協定の効力発生の日、アメリカ合衆国政府の職員に係る改正の部分は、日本国とアメリカ合衆国との間の相互防衛援助協定の効力発生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附則（平成一一年一二月二二日法律第二一七号）</w:t>
      </w:r>
    </w:p>
    <w:p>
      <w:pPr>
        <w:pStyle w:val="Heading4"/>
      </w:pPr>
      <w:r>
        <w:t>第一条（施行期日）</w:t>
      </w:r>
    </w:p>
    <w:p>
      <w:r>
        <w:t>この法律は、平成十三年一月六日から施行する。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駐留軍労働者等に支払うべき給料その他の給与の支払事務の処理の特例に関する法律</w:t>
      <w:br/>
      <w:tab/>
      <w:t>（昭和二十五年法律第五号）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駐留軍労働者等に支払うべき給料その他の給与の支払事務の処理の特例に関する法律（昭和二十五年法律第五号）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