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騒音規制法第二条第四項の自動車を定める省令</w:t>
        <w:br/>
        <w:t>（昭和四十六年運輸省令第三十七号）</w:t>
      </w:r>
    </w:p>
    <w:p>
      <w:r>
        <w:t>騒音規制法（昭和四十三年法律第九十八号）第二条第四項の環境省令で定める自動車は、道路運送車両法施行規則（昭和二十六年運輸省令第七十四号）第二条に規定する普通自動車、小型自動車及び軽自動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この省令は、騒音規制法の一部を改正する法律（昭和四十五年法律第百三十五号）の施行の日（昭和四十六年六月二十四日）から施行する。</w:t>
      </w:r>
    </w:p>
    <w:p>
      <w:r>
        <w:br w:type="page"/>
      </w:r>
    </w:p>
    <w:p>
      <w:pPr>
        <w:pStyle w:val="Heading1"/>
      </w:pPr>
      <w:r>
        <w:t>附則（昭和四六年七月一日総理府令第四一号）</w:t>
      </w:r>
    </w:p>
    <w:p>
      <w:r>
        <w:t>この府令は、公布の日から施行する。</w:t>
      </w:r>
    </w:p>
    <w:p>
      <w:r>
        <w:br w:type="page"/>
      </w:r>
    </w:p>
    <w:p>
      <w:pPr>
        <w:pStyle w:val="Heading1"/>
      </w:pPr>
      <w:r>
        <w:t>附則（平成一二年八月一四日総理府令第九四号）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この府令は、内閣法の一部を改正する法律（平成十一年法律第八十八号）の施行の日（平成十三年一月六日）から施行する。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騒音規制法第二条第四項の自動車を定める省令</w:t>
      <w:br/>
      <w:tab/>
      <w:t>（昭和四十六年運輸省令第三十七号）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騒音規制法第二条第四項の自動車を定める省令（昭和四十六年運輸省令第三十七号）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