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高速自動車国道の路線を指定する政令</w:t>
        <w:br/>
        <w:t>（昭和三十二年政令第二百七十五号）</w:t>
      </w:r>
    </w:p>
    <w:p>
      <w:r>
        <w:t>高速自動車国道の路線名、起点、終点及び重要な経過地は、別表のとおりとする。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則（昭和四〇年一一月一日政令第三四九号）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則（昭和四二年一一月二二日政令第三四八号）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則（昭和四三年三月一九日政令第四〇号）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則（昭和四四年一月二〇日政令第六号）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則（昭和四五年六月一八日政令第一八九号）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則（昭和四六年六月八日政令第一七九号）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則（昭和四七年六月三〇日政令第二五七号）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則（昭和五三年一一月六日政令第三六四号）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則（昭和五四年二月二七日政令第二七号）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則（昭和五七年一月二九日政令第一四号）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則（昭和六一年二月四日政令第一〇号）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則（平成元年二月一七日政令第三五号）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則（平成三年一二月二〇日政令第三七六号）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則（平成九年二月五日政令第一二号）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則（平成一二年一月一九日政令第五号）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則（平成一六年三月一九日政令第五〇号）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則（平成二〇年一月一八日政令第六号）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高速自動車国道の路線を指定する政令</w:t>
      <w:br/>
      <w:tab/>
      <w:t>（昭和三十二年政令第二百七十五号）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高速自動車国道の路線を指定する政令（昭和三十二年政令第二百七十五号）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