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高速自動車国道の路線を指定する政令</w:t>
        <w:br/>
        <w:t>（昭和三十二年政令第二百七十五号）</w:t>
      </w:r>
    </w:p>
    <w:p>
      <w:r>
        <w:t>高速自動車国道の路線名、起点、終点及び重要な経過地は、別表のとおりとする。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附則（昭和四〇年一一月一日政令第三四九号）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附則（昭和四二年一一月二二日政令第三四八号）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附則（昭和四三年三月一九日政令第四〇号）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附則（昭和四四年一月二〇日政令第六号）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附則（昭和四五年六月一八日政令第一八九号）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附則（昭和四六年六月八日政令第一七九号）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附則（昭和四七年六月三〇日政令第二五七号）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附則（昭和五三年一一月六日政令第三六四号）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附則（昭和五四年二月二七日政令第二七号）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附則（昭和五七年一月二九日政令第一四号）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附則（昭和六一年二月四日政令第一〇号）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附則（平成元年二月一七日政令第三五号）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附則（平成三年一二月二〇日政令第三七六号）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附則（平成九年二月五日政令第一二号）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附則（平成一二年一月一九日政令第五号）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附則（平成一六年三月一九日政令第五〇号）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  <w:br/>
        <w:t>ただし、附則第九条から第四十四条までの規定は、平成十六年四月一日から施行する。</w:t>
      </w:r>
    </w:p>
    <w:p>
      <w:r>
        <w:br w:type="page"/>
      </w:r>
    </w:p>
    <w:p>
      <w:pPr>
        <w:pStyle w:val="Heading1"/>
      </w:pPr>
      <w:r>
        <w:t>附則（平成二〇年一月一八日政令第六号）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高速自動車国道の路線を指定する政令</w:t>
      <w:br/>
      <w:tab/>
      <w:t>（昭和三十二年政令第二百七十五号）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高速自動車国道の路線を指定する政令（昭和三十二年政令第二百七十五号）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