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高齢社会対策会議令</w:t>
        <w:br/>
        <w:t>（平成七年政令第四百十六号）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高齢社会対策会議の庶務は、内閣府本府に置かれる政策統括官が処理する。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前二条に定めるもののほか、議事の手続その他高齢社会対策会議の運営に関し必要な事項は、会長が高齢社会対策会議に諮って定める。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この政令は、高齢社会対策基本法の施行の日（平成七年十二月十六日）から施行する。</w:t>
      </w:r>
    </w:p>
    <w:p>
      <w:r>
        <w:br w:type="page"/>
      </w:r>
    </w:p>
    <w:p>
      <w:pPr>
        <w:pStyle w:val="Heading1"/>
      </w:pPr>
      <w:r>
        <w:t>附　則（平成九年四月一日政令第一二〇号）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高齢社会対策会議令</w:t>
      <w:br/>
      <w:tab/>
      <w:t>（平成七年政令第四百十六号）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高齢社会対策会議令（平成七年政令第四百十六号）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