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高齢社会対策会議令</w:t>
        <w:br/>
        <w:t>（平成七年政令第四百十六号）</w:t>
      </w:r>
    </w:p>
    <w:p>
      <w:pPr>
        <w:pStyle w:val="Heading4"/>
      </w:pPr>
      <w:r>
        <w:t>第一条（会長）</w:t>
      </w:r>
    </w:p>
    <w:p>
      <w:r>
        <w:t>会長は、会務を総理する。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会長に事故があるときは、会長があらかじめ指名する委員が、その職務を代理する。</w:t>
      </w:r>
    </w:p>
    <w:p>
      <w:pPr>
        <w:pStyle w:val="Heading4"/>
      </w:pPr>
      <w:r>
        <w:t>第二条（庶務）</w:t>
      </w:r>
    </w:p>
    <w:p>
      <w:r>
        <w:t>高齢社会対策会議の庶務は、内閣府本府に置かれる政策統括官が処理する。</w:t>
      </w:r>
    </w:p>
    <w:p>
      <w:pPr>
        <w:pStyle w:val="Heading4"/>
      </w:pPr>
      <w:r>
        <w:t>第三条（雑則）</w:t>
      </w:r>
    </w:p>
    <w:p>
      <w:r>
        <w:t>前二条に定めるもののほか、議事の手続その他高齢社会対策会議の運営に関し必要な事項は、会長が高齢社会対策会議に諮って定める。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この政令は、高齢社会対策基本法の施行の日（平成七年十二月十六日）から施行する。</w:t>
      </w:r>
    </w:p>
    <w:p>
      <w:r>
        <w:br w:type="page"/>
      </w:r>
    </w:p>
    <w:p>
      <w:pPr>
        <w:pStyle w:val="Heading1"/>
      </w:pPr>
      <w:r>
        <w:t>附則（平成九年四月一日政令第一二〇号）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附則（平成一二年六月七日政令第三〇三号）</w:t>
      </w:r>
    </w:p>
    <w:p>
      <w:pPr>
        <w:pStyle w:val="Heading4"/>
      </w:pPr>
      <w:r>
        <w:t>第一条（施行期日）</w:t>
      </w:r>
    </w:p>
    <w:p>
      <w:r>
        <w:t>この政令は、内閣法の一部を改正する法律の施行の日（平成十三年一月六日）から施行する。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高齢社会対策会議令</w:t>
      <w:br/>
      <w:tab/>
      <w:t>（平成七年政令第四百十六号）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高齢社会対策会議令（平成七年政令第四百十六号）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