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DA2D6" w14:textId="6E6AA72B" w:rsidR="00DF3F36" w:rsidRPr="00223E87" w:rsidRDefault="00716B40" w:rsidP="0030025C">
      <w:pPr>
        <w:pStyle w:val="FirstParagraph"/>
        <w:jc w:val="both"/>
        <w:rPr>
          <w:rFonts w:ascii="Times New Roman" w:hAnsi="Times New Roman" w:cs="Times New Roman"/>
        </w:rPr>
      </w:pPr>
      <w:r w:rsidRPr="00223E87">
        <w:rPr>
          <w:rFonts w:ascii="Times New Roman" w:hAnsi="Times New Roman" w:cs="Times New Roman"/>
        </w:rPr>
        <w:t xml:space="preserve">The narrative provided here draws heavily from our published works </w:t>
      </w:r>
      <w:r w:rsidRPr="00223E87">
        <w:rPr>
          <w:rFonts w:ascii="Times New Roman" w:hAnsi="Times New Roman" w:cs="Times New Roman"/>
        </w:rPr>
        <w:fldChar w:fldCharType="begin"/>
      </w:r>
      <w:r w:rsidR="00855D90" w:rsidRPr="00223E87">
        <w:rPr>
          <w:rFonts w:ascii="Times New Roman" w:hAnsi="Times New Roman" w:cs="Times New Roman"/>
        </w:rPr>
        <w:instrText xml:space="preserve"> ADDIN ZOTERO_ITEM CSL_CITATION {"citationID":"c1asyTZx","properties":{"formattedCitation":"(Tsiboe and Turner 2023a; Tsiboe and Turner 2023b)","plainCitation":"(Tsiboe and Turner 2023a; Tsiboe and Turner 2023b)","noteIndex":0},"citationItems":[{"id":"cEVhWlxo/kxYZvgTu","uris":["http://zotero.org/users/11173300/items/MEZWTZZJ"],"itemData":{"id":326,"type":"article-journal","container-title":"Agricultural and Resource Economics Review","title":"Econometric Identification of Crop Insurance Participation","author":[{"family":"Tsiboe","given":"Francis"},{"family":"Turner","given":"Dylan"}],"issued":{"date-parts":[["2023"]]}},"label":"page"},{"id":22,"uris":["http://zotero.org/users/12297313/items/APMSYUEG"],"itemData":{"id":22,"type":"article-journal","container-title":"Food Policy","DOI":"10.1016/j.foodpol.2023.102505","page":"102505","title":"The Crop Insurance Demand Response to Premium Subsidies: Evidence from U.S. Agriculture","volume":"119","author":[{"family":"Tsiboe","given":"Francis"},{"family":"Turner","given":"Dylan"}],"issued":{"date-parts":[["2023"]]}}}],"schema":"https://github.com/citation-style-language/schema/raw/master/csl-citation.json"} </w:instrText>
      </w:r>
      <w:r w:rsidRPr="00223E87">
        <w:rPr>
          <w:rFonts w:ascii="Times New Roman" w:hAnsi="Times New Roman" w:cs="Times New Roman"/>
        </w:rPr>
        <w:fldChar w:fldCharType="separate"/>
      </w:r>
      <w:r w:rsidR="00855D90" w:rsidRPr="00223E87">
        <w:rPr>
          <w:rFonts w:ascii="Times New Roman" w:hAnsi="Times New Roman" w:cs="Times New Roman"/>
        </w:rPr>
        <w:t>(Tsiboe and Turner 2023a; Tsiboe and Turner 2023b)</w:t>
      </w:r>
      <w:r w:rsidRPr="00223E87">
        <w:rPr>
          <w:rFonts w:ascii="Times New Roman" w:hAnsi="Times New Roman" w:cs="Times New Roman"/>
        </w:rPr>
        <w:fldChar w:fldCharType="end"/>
      </w:r>
      <w:r w:rsidRPr="00223E87">
        <w:rPr>
          <w:rFonts w:ascii="Times New Roman" w:hAnsi="Times New Roman" w:cs="Times New Roman"/>
        </w:rPr>
        <w:t xml:space="preserve"> as well as</w:t>
      </w:r>
      <w:r w:rsidR="00697DC4" w:rsidRPr="00223E87">
        <w:rPr>
          <w:rFonts w:ascii="Times New Roman" w:hAnsi="Times New Roman" w:cs="Times New Roman"/>
        </w:rPr>
        <w:t xml:space="preserve"> published martials that </w:t>
      </w:r>
      <w:r w:rsidR="003027E6" w:rsidRPr="00223E87">
        <w:rPr>
          <w:rFonts w:ascii="Times New Roman" w:hAnsi="Times New Roman" w:cs="Times New Roman"/>
        </w:rPr>
        <w:t xml:space="preserve">got generated during the review process but did not make it to the main text. Thus, citing </w:t>
      </w:r>
      <w:r w:rsidR="00855D90" w:rsidRPr="00223E87">
        <w:rPr>
          <w:rFonts w:ascii="Times New Roman" w:hAnsi="Times New Roman" w:cs="Times New Roman"/>
        </w:rPr>
        <w:fldChar w:fldCharType="begin"/>
      </w:r>
      <w:r w:rsidR="00223E87" w:rsidRPr="00223E87">
        <w:rPr>
          <w:rFonts w:ascii="Times New Roman" w:hAnsi="Times New Roman" w:cs="Times New Roman"/>
        </w:rPr>
        <w:instrText xml:space="preserve"> ADDIN ZOTERO_ITEM CSL_CITATION {"citationID":"LuoDiFru","properties":{"formattedCitation":"(Tsiboe and Turner 2023a; Tsiboe and Turner 2023b)","plainCitation":"(Tsiboe and Turner 2023a; Tsiboe and Turner 2023b)","dontUpdate":true,"noteIndex":0},"citationItems":[{"id":"cEVhWlxo/kxYZvgTu","uris":["http://zotero.org/users/11173300/items/MEZWTZZJ"],"itemData":{"id":326,"type":"article-journal","container-title":"Agricultural and Resource Economics Review","title":"Econometric Identification of Crop Insurance Participation","author":[{"family":"Tsiboe","given":"Francis"},{"family":"Turner","given":"Dylan"}],"issued":{"date-parts":[["2023"]]}},"label":"page"},{"id":22,"uris":["http://zotero.org/users/12297313/items/APMSYUEG"],"itemData":{"id":22,"type":"article-journal","container-title":"Food Policy","DOI":"10.1016/j.foodpol.2023.102505","page":"102505","title":"The Crop Insurance Demand Response to Premium Subsidies: Evidence from U.S. Agriculture","volume":"119","author":[{"family":"Tsiboe","given":"Francis"},{"family":"Turner","given":"Dylan"}],"issued":{"date-parts":[["2023"]]}}}],"schema":"https://github.com/citation-style-language/schema/raw/master/csl-citation.json"} </w:instrText>
      </w:r>
      <w:r w:rsidR="00855D90" w:rsidRPr="00223E87">
        <w:rPr>
          <w:rFonts w:ascii="Times New Roman" w:hAnsi="Times New Roman" w:cs="Times New Roman"/>
        </w:rPr>
        <w:fldChar w:fldCharType="separate"/>
      </w:r>
      <w:r w:rsidR="00855D90" w:rsidRPr="00223E87">
        <w:rPr>
          <w:rFonts w:ascii="Times New Roman" w:hAnsi="Times New Roman" w:cs="Times New Roman"/>
        </w:rPr>
        <w:t xml:space="preserve">Tsiboe and Turner </w:t>
      </w:r>
      <w:r w:rsidR="00855D90" w:rsidRPr="00223E87">
        <w:rPr>
          <w:rFonts w:ascii="Times New Roman" w:hAnsi="Times New Roman" w:cs="Times New Roman"/>
        </w:rPr>
        <w:t>(</w:t>
      </w:r>
      <w:r w:rsidR="00855D90" w:rsidRPr="00223E87">
        <w:rPr>
          <w:rFonts w:ascii="Times New Roman" w:hAnsi="Times New Roman" w:cs="Times New Roman"/>
        </w:rPr>
        <w:t>2023a</w:t>
      </w:r>
      <w:r w:rsidR="00855D90" w:rsidRPr="00223E87">
        <w:rPr>
          <w:rFonts w:ascii="Times New Roman" w:hAnsi="Times New Roman" w:cs="Times New Roman"/>
        </w:rPr>
        <w:t>) and</w:t>
      </w:r>
      <w:r w:rsidR="00855D90" w:rsidRPr="00223E87">
        <w:rPr>
          <w:rFonts w:ascii="Times New Roman" w:hAnsi="Times New Roman" w:cs="Times New Roman"/>
        </w:rPr>
        <w:t xml:space="preserve"> Tsiboe and Turner </w:t>
      </w:r>
      <w:r w:rsidR="00855D90" w:rsidRPr="00223E87">
        <w:rPr>
          <w:rFonts w:ascii="Times New Roman" w:hAnsi="Times New Roman" w:cs="Times New Roman"/>
        </w:rPr>
        <w:t>(</w:t>
      </w:r>
      <w:r w:rsidR="00855D90" w:rsidRPr="00223E87">
        <w:rPr>
          <w:rFonts w:ascii="Times New Roman" w:hAnsi="Times New Roman" w:cs="Times New Roman"/>
        </w:rPr>
        <w:t>2023b)</w:t>
      </w:r>
      <w:r w:rsidR="00855D90" w:rsidRPr="00223E87">
        <w:rPr>
          <w:rFonts w:ascii="Times New Roman" w:hAnsi="Times New Roman" w:cs="Times New Roman"/>
        </w:rPr>
        <w:fldChar w:fldCharType="end"/>
      </w:r>
      <w:r w:rsidR="00855D90" w:rsidRPr="00223E87">
        <w:rPr>
          <w:rFonts w:ascii="Times New Roman" w:hAnsi="Times New Roman" w:cs="Times New Roman"/>
        </w:rPr>
        <w:t xml:space="preserve"> for the justification provided here should be sufficient </w:t>
      </w:r>
    </w:p>
    <w:p w14:paraId="4F5BECB5" w14:textId="357D7210" w:rsidR="00514D4C" w:rsidRPr="00223E87" w:rsidRDefault="00514D4C" w:rsidP="0030025C">
      <w:pPr>
        <w:pStyle w:val="Heading1"/>
      </w:pPr>
      <w:r w:rsidRPr="00223E87">
        <w:t>Identification Strategy</w:t>
      </w:r>
    </w:p>
    <w:p w14:paraId="1494B958" w14:textId="77777777" w:rsidR="00514D4C" w:rsidRPr="00223E87" w:rsidRDefault="00514D4C" w:rsidP="0030025C">
      <w:pPr>
        <w:pStyle w:val="FirstParagraph"/>
        <w:jc w:val="both"/>
        <w:rPr>
          <w:rFonts w:ascii="Times New Roman" w:hAnsi="Times New Roman" w:cs="Times New Roman"/>
        </w:rPr>
      </w:pPr>
      <w:r w:rsidRPr="00223E87">
        <w:rPr>
          <w:rFonts w:ascii="Times New Roman" w:hAnsi="Times New Roman" w:cs="Times New Roman"/>
        </w:rPr>
        <w:t>As previously mentioned, a primary concern for identification is the fact that both cover crop use and crop insurance participation can both affect production risk, to varying degrees. Consequently, the underlying risk profile of a particular producer (i.e. the various moments that characterize their yield distribution) is likely to influence their decisions pertaining to participation in both planting of cover crops and purchase of crop insurance. Given that “risk” is not directly observable, a canonical case of endogeneity persists (i.e., due to omitted variables) that has the potential to bias parameter estimates unless explicitly dealt with.</w:t>
      </w:r>
    </w:p>
    <w:p w14:paraId="2897136D" w14:textId="0FD0AE2A" w:rsidR="00514D4C" w:rsidRPr="00223E87" w:rsidRDefault="00514D4C" w:rsidP="0030025C">
      <w:pPr>
        <w:pStyle w:val="BodyText"/>
        <w:jc w:val="both"/>
        <w:rPr>
          <w:rFonts w:ascii="Times New Roman" w:hAnsi="Times New Roman" w:cs="Times New Roman"/>
          <w:color w:val="FF0000"/>
        </w:rPr>
      </w:pPr>
      <w:r w:rsidRPr="00223E87">
        <w:rPr>
          <w:rFonts w:ascii="Times New Roman" w:hAnsi="Times New Roman" w:cs="Times New Roman"/>
        </w:rPr>
        <w:t>To address endogeneity</w:t>
      </w:r>
      <w:r w:rsidRPr="00223E87">
        <w:rPr>
          <w:rStyle w:val="FootnoteReference"/>
          <w:rFonts w:ascii="Times New Roman" w:hAnsi="Times New Roman" w:cs="Times New Roman"/>
        </w:rPr>
        <w:footnoteReference w:id="1"/>
      </w:r>
      <w:r w:rsidRPr="00223E87">
        <w:rPr>
          <w:rFonts w:ascii="Times New Roman" w:hAnsi="Times New Roman" w:cs="Times New Roman"/>
        </w:rPr>
        <w:t xml:space="preserve"> in our empirical framework, we follow past literature and define an instrumental variable that utilizes the premium rating framework inherent to the FCIP </w:t>
      </w:r>
      <w:r w:rsidR="0030025C" w:rsidRPr="00223E87">
        <w:rPr>
          <w:rFonts w:ascii="Times New Roman" w:hAnsi="Times New Roman" w:cs="Times New Roman"/>
        </w:rPr>
        <w:t>to</w:t>
      </w:r>
      <w:r w:rsidRPr="00223E87">
        <w:rPr>
          <w:rFonts w:ascii="Times New Roman" w:hAnsi="Times New Roman" w:cs="Times New Roman"/>
        </w:rPr>
        <w:t xml:space="preserve"> generate exogenous variation in premium rates which can in turn directly influence crop insurance demand (Woodard and Yi 2020; Tsiboe and Turner 2023). </w:t>
      </w:r>
      <w:r w:rsidR="0030025C" w:rsidRPr="00223E87">
        <w:rPr>
          <w:rFonts w:ascii="Times New Roman" w:hAnsi="Times New Roman" w:cs="Times New Roman"/>
        </w:rPr>
        <w:t>Several</w:t>
      </w:r>
      <w:r w:rsidRPr="00223E87">
        <w:rPr>
          <w:rFonts w:ascii="Times New Roman" w:hAnsi="Times New Roman" w:cs="Times New Roman"/>
        </w:rPr>
        <w:t xml:space="preserve"> policy parameters are internally defined each year by RMA using historical data from the FCIP. Notably, even though these parameters are defined using historic data (data which any individual producer may have contributed to), a single producer has negligible influence on their own premium rate due to the large number of producers that that contribute to the historic data series (Tsiboe and Turner 2023).</w:t>
      </w:r>
    </w:p>
    <w:p w14:paraId="46D107C0" w14:textId="77777777" w:rsidR="00514D4C" w:rsidRPr="00223E87" w:rsidRDefault="00514D4C" w:rsidP="0030025C">
      <w:pPr>
        <w:pStyle w:val="BodyText"/>
        <w:jc w:val="both"/>
        <w:rPr>
          <w:rFonts w:ascii="Times New Roman" w:hAnsi="Times New Roman" w:cs="Times New Roman"/>
        </w:rPr>
      </w:pPr>
      <w:r w:rsidRPr="00223E87">
        <w:rPr>
          <w:rFonts w:ascii="Times New Roman" w:hAnsi="Times New Roman" w:cs="Times New Roman"/>
        </w:rPr>
        <w:t>Temporal and spatial variation in policy parameters is further made exogenous by smoothing operations that RMA applies to limit sharp discontinuities in premium rates across adjoining county boundaries and catastrophic loading which is done to account for extreme tail events being sparsely represented in historic data (Coble et al. 2010). In effect, this means that variation in these policy parameters that govern premium rates shift the premium rate curve in a way that is exogenous to current individual farmer demand for insurance (i.e., which is also exogenous to the omitted “inherent farm risk” variables in the error term of equation 1). For a more detailed discussion on crop insurance rating methods as they relate to our instrumental variables, see the appendix.</w:t>
      </w:r>
    </w:p>
    <w:p w14:paraId="5C2331B5" w14:textId="6FC33ADD" w:rsidR="00514D4C" w:rsidRPr="00223E87" w:rsidRDefault="00514D4C" w:rsidP="0030025C">
      <w:pPr>
        <w:pStyle w:val="BodyText"/>
        <w:jc w:val="both"/>
        <w:rPr>
          <w:rFonts w:ascii="Times New Roman" w:hAnsi="Times New Roman" w:cs="Times New Roman"/>
          <w:color w:val="FF0000"/>
        </w:rPr>
      </w:pPr>
      <w:r w:rsidRPr="00223E87">
        <w:rPr>
          <w:rFonts w:ascii="Times New Roman" w:hAnsi="Times New Roman" w:cs="Times New Roman"/>
        </w:rPr>
        <w:t xml:space="preserve">Specifically, we make use of two policy parameters to define our instrument. The first being the county base rate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65ct</m:t>
            </m:r>
          </m:sub>
        </m:sSub>
      </m:oMath>
      <w:r w:rsidRPr="00223E87">
        <w:rPr>
          <w:rFonts w:ascii="Times New Roman" w:hAnsi="Times New Roman" w:cs="Times New Roman"/>
        </w:rPr>
        <w:t xml:space="preserve"> which represents the starting premium for an individual choosing a 65%</w:t>
      </w:r>
      <w:r w:rsidRPr="00223E87">
        <w:rPr>
          <w:rStyle w:val="FootnoteReference"/>
          <w:rFonts w:ascii="Times New Roman" w:hAnsi="Times New Roman" w:cs="Times New Roman"/>
        </w:rPr>
        <w:footnoteReference w:id="2"/>
      </w:r>
      <w:r w:rsidRPr="00223E87">
        <w:rPr>
          <w:rFonts w:ascii="Times New Roman" w:hAnsi="Times New Roman" w:cs="Times New Roman"/>
        </w:rPr>
        <w:t xml:space="preserve"> coverage level in county c </w:t>
      </w:r>
      <w:r w:rsidR="00BB7145" w:rsidRPr="00223E87">
        <w:rPr>
          <w:rFonts w:ascii="Times New Roman" w:hAnsi="Times New Roman" w:cs="Times New Roman"/>
        </w:rPr>
        <w:t>and crop</w:t>
      </w:r>
      <w:r w:rsidRPr="00223E87">
        <w:rPr>
          <w:rFonts w:ascii="Times New Roman" w:hAnsi="Times New Roman" w:cs="Times New Roman"/>
        </w:rPr>
        <w:t xml:space="preserve"> year t. Notably,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65ct</m:t>
            </m:r>
          </m:sub>
        </m:sSub>
      </m:oMath>
      <w:r w:rsidRPr="00223E87">
        <w:rPr>
          <w:rFonts w:ascii="Times New Roman" w:hAnsi="Times New Roman" w:cs="Times New Roman"/>
        </w:rPr>
        <w:t>, represents the premium rate before any characteristics of an individual producer are used to customize the premium</w:t>
      </w:r>
      <w:r w:rsidRPr="00223E87">
        <w:rPr>
          <w:rStyle w:val="FootnoteReference"/>
          <w:rFonts w:ascii="Times New Roman" w:hAnsi="Times New Roman" w:cs="Times New Roman"/>
        </w:rPr>
        <w:footnoteReference w:id="3"/>
      </w:r>
      <w:r w:rsidRPr="00223E87">
        <w:rPr>
          <w:rFonts w:ascii="Times New Roman" w:hAnsi="Times New Roman" w:cs="Times New Roman"/>
        </w:rPr>
        <w:t xml:space="preserve">.  The second is the </w:t>
      </w:r>
      <w:r w:rsidRPr="00223E87">
        <w:rPr>
          <w:rFonts w:ascii="Times New Roman" w:hAnsi="Times New Roman" w:cs="Times New Roman"/>
        </w:rPr>
        <w:lastRenderedPageBreak/>
        <w:t xml:space="preserve">catastrophic loading factor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ct</m:t>
            </m:r>
          </m:sub>
        </m:sSub>
      </m:oMath>
      <w:r w:rsidRPr="00223E87">
        <w:rPr>
          <w:rFonts w:ascii="Times New Roman" w:hAnsi="Times New Roman" w:cs="Times New Roman"/>
        </w:rPr>
        <w:t xml:space="preserve"> which as noted above is used to attenuate sampling error for sparsely observed catastrophic events. Our final instrument is defined as </w:t>
      </w:r>
      <w:bookmarkStart w:id="0" w:name="_Hlk150944615"/>
      <m:oMath>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65ct</m:t>
            </m:r>
          </m:sub>
        </m:sSub>
        <w:bookmarkEnd w:id="0"/>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65ct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65ct</m:t>
            </m:r>
          </m:sub>
        </m:sSub>
      </m:oMath>
      <w:r w:rsidRPr="00223E87">
        <w:rPr>
          <w:rFonts w:ascii="Times New Roman" w:hAnsi="Times New Roman" w:cs="Times New Roman"/>
        </w:rPr>
        <w:t xml:space="preserve"> which represents the initial premium a producer would face, prior to any information about a producer’s past production experience being used in the rating process. We refer to this instrument as the “initial rate”.</w:t>
      </w:r>
    </w:p>
    <w:p w14:paraId="5330027D" w14:textId="13AEEF5C" w:rsidR="00514D4C" w:rsidRPr="00223E87" w:rsidRDefault="00514D4C" w:rsidP="0030025C">
      <w:pPr>
        <w:pStyle w:val="Heading1"/>
      </w:pPr>
      <w:r w:rsidRPr="00223E87">
        <w:t>Details on Exogeneity of Instrumental Variables</w:t>
      </w:r>
    </w:p>
    <w:p w14:paraId="73DC67AC" w14:textId="0484C686" w:rsidR="00514D4C" w:rsidRPr="00223E87" w:rsidRDefault="00514D4C" w:rsidP="0030025C">
      <w:pPr>
        <w:spacing w:before="240"/>
        <w:jc w:val="both"/>
        <w:rPr>
          <w:rFonts w:ascii="Times New Roman" w:hAnsi="Times New Roman" w:cs="Times New Roman"/>
        </w:rPr>
      </w:pPr>
      <w:r w:rsidRPr="00223E87">
        <w:rPr>
          <w:rFonts w:ascii="Times New Roman" w:hAnsi="Times New Roman" w:cs="Times New Roman"/>
        </w:rPr>
        <w:t>For our study, our instrument is only valid if it influences a producer’s crop insurance expenditures but has no direct bearing on cover crop decisions (other than through altering their crop insurance expenditures). The purpose of this appendix is to provide an overview of how the actuarial rating parameters that are used to construct our instrumental variable fit within the current premium rating framework utilized by the USDA Risk Management Agency and to discuss how these rating parameters satisfy the exclusion restrictions necessary to utilize them in an instrumental variable context.</w:t>
      </w:r>
    </w:p>
    <w:p w14:paraId="698231C2" w14:textId="5CBAF12B" w:rsidR="00514D4C" w:rsidRPr="00223E87" w:rsidRDefault="00514D4C" w:rsidP="0030025C">
      <w:pPr>
        <w:jc w:val="both"/>
        <w:rPr>
          <w:rFonts w:ascii="Times New Roman" w:hAnsi="Times New Roman" w:cs="Times New Roman"/>
        </w:rPr>
      </w:pPr>
      <w:r w:rsidRPr="00223E87">
        <w:rPr>
          <w:rFonts w:ascii="Times New Roman" w:hAnsi="Times New Roman" w:cs="Times New Roman"/>
        </w:rPr>
        <w:t xml:space="preserve">As discussed by </w:t>
      </w:r>
      <w:r w:rsidRPr="00223E87">
        <w:rPr>
          <w:rFonts w:ascii="Times New Roman" w:hAnsi="Times New Roman" w:cs="Times New Roman"/>
        </w:rPr>
        <w:fldChar w:fldCharType="begin"/>
      </w:r>
      <w:r w:rsidR="00855D90" w:rsidRPr="00223E87">
        <w:rPr>
          <w:rFonts w:ascii="Times New Roman" w:hAnsi="Times New Roman" w:cs="Times New Roman"/>
        </w:rPr>
        <w:instrText xml:space="preserve"> ADDIN ZOTERO_ITEM CSL_CITATION {"citationID":"4a3IHo5w","properties":{"formattedCitation":"(Tsiboe and Turner 2023a)","plainCitation":"(Tsiboe and Turner 2023a)","noteIndex":0},"citationItems":[{"id":"cEVhWlxo/kxYZvgTu","uris":["http://zotero.org/users/11173300/items/MEZWTZZJ"],"itemData":{"id":326,"type":"article-journal","container-title":"Agricultural and Resource Economics Review","title":"Econometric Identification of Crop Insurance Participation","author":[{"family":"Tsiboe","given":"Francis"},{"family":"Turner","given":"Dylan"}],"issued":{"date-parts":[["2023"]]}}}],"schema":"https://github.com/citation-style-language/schema/raw/master/csl-citation.json"} </w:instrText>
      </w:r>
      <w:r w:rsidRPr="00223E87">
        <w:rPr>
          <w:rFonts w:ascii="Times New Roman" w:hAnsi="Times New Roman" w:cs="Times New Roman"/>
        </w:rPr>
        <w:fldChar w:fldCharType="separate"/>
      </w:r>
      <w:r w:rsidR="00855D90" w:rsidRPr="00223E87">
        <w:rPr>
          <w:rFonts w:ascii="Times New Roman" w:hAnsi="Times New Roman" w:cs="Times New Roman"/>
        </w:rPr>
        <w:t>(Tsiboe and Turner 2023a)</w:t>
      </w:r>
      <w:r w:rsidRPr="00223E87">
        <w:rPr>
          <w:rFonts w:ascii="Times New Roman" w:hAnsi="Times New Roman" w:cs="Times New Roman"/>
        </w:rPr>
        <w:fldChar w:fldCharType="end"/>
      </w:r>
      <w:r w:rsidRPr="00223E87">
        <w:rPr>
          <w:rFonts w:ascii="Times New Roman" w:hAnsi="Times New Roman" w:cs="Times New Roman"/>
        </w:rPr>
        <w:t xml:space="preserve">, the continuous rating formula utilized by RMA to set premium rates consists of two sets of parameters; the first being an “endogenous” set of parameters that are directly influenced by the actions of a producer in either the past or current crop year. The parameters in the “endogenous” set include the producer’s choice of insurance unit structure (ex: basic vs enterprise units), their chosen coverage level (i.e. 50%, 55%, 60%, … </w:t>
      </w:r>
      <w:r w:rsidR="00BB7145" w:rsidRPr="00223E87">
        <w:rPr>
          <w:rFonts w:ascii="Times New Roman" w:hAnsi="Times New Roman" w:cs="Times New Roman"/>
        </w:rPr>
        <w:t>etc.</w:t>
      </w:r>
      <w:r w:rsidRPr="00223E87">
        <w:rPr>
          <w:rFonts w:ascii="Times New Roman" w:hAnsi="Times New Roman" w:cs="Times New Roman"/>
        </w:rPr>
        <w:t>), their choice of production practices (e.</w:t>
      </w:r>
      <w:r w:rsidR="00E91413">
        <w:rPr>
          <w:rFonts w:ascii="Times New Roman" w:hAnsi="Times New Roman" w:cs="Times New Roman"/>
        </w:rPr>
        <w:t>g</w:t>
      </w:r>
      <w:r w:rsidRPr="00223E87">
        <w:rPr>
          <w:rFonts w:ascii="Times New Roman" w:hAnsi="Times New Roman" w:cs="Times New Roman"/>
        </w:rPr>
        <w:t xml:space="preserve">. certified organic, irrigation use). Finally, a producers’ history of realized yields (referred to as their “Actual Production History” or APH) is contained in this “endogenous” set of rating parameters. Because these components of the premium rating process are directly influenced by the actions of the producer, they would not satisfy the exclusion restrictions necessary for an instrumental variable. For example, if </w:t>
      </w:r>
      <w:r w:rsidR="009B310F" w:rsidRPr="00223E87">
        <w:rPr>
          <w:rFonts w:ascii="Times New Roman" w:hAnsi="Times New Roman" w:cs="Times New Roman"/>
        </w:rPr>
        <w:t>producer experiences</w:t>
      </w:r>
      <w:r w:rsidRPr="00223E87">
        <w:rPr>
          <w:rFonts w:ascii="Times New Roman" w:hAnsi="Times New Roman" w:cs="Times New Roman"/>
        </w:rPr>
        <w:t xml:space="preserve"> yield effects from adopting cover crops (either positive or negative), this would influence their premium rate for the next year via altering the actual production history.</w:t>
      </w:r>
    </w:p>
    <w:p w14:paraId="42BBDE7B" w14:textId="7248EF92" w:rsidR="00514D4C" w:rsidRPr="00223E87" w:rsidRDefault="00514D4C" w:rsidP="0030025C">
      <w:pPr>
        <w:jc w:val="both"/>
        <w:rPr>
          <w:rFonts w:ascii="Times New Roman" w:hAnsi="Times New Roman" w:cs="Times New Roman"/>
        </w:rPr>
      </w:pPr>
      <w:r w:rsidRPr="00223E87">
        <w:rPr>
          <w:rFonts w:ascii="Times New Roman" w:hAnsi="Times New Roman" w:cs="Times New Roman"/>
        </w:rPr>
        <w:t xml:space="preserve">Alternatively, there are </w:t>
      </w:r>
      <w:r w:rsidR="0030025C" w:rsidRPr="00223E87">
        <w:rPr>
          <w:rFonts w:ascii="Times New Roman" w:hAnsi="Times New Roman" w:cs="Times New Roman"/>
        </w:rPr>
        <w:t>several</w:t>
      </w:r>
      <w:r w:rsidRPr="00223E87">
        <w:rPr>
          <w:rFonts w:ascii="Times New Roman" w:hAnsi="Times New Roman" w:cs="Times New Roman"/>
        </w:rPr>
        <w:t xml:space="preserve"> actuarial parameters that directly influence a producers paid premium </w:t>
      </w:r>
      <w:r w:rsidR="009B310F" w:rsidRPr="00223E87">
        <w:rPr>
          <w:rFonts w:ascii="Times New Roman" w:hAnsi="Times New Roman" w:cs="Times New Roman"/>
        </w:rPr>
        <w:t>rate but</w:t>
      </w:r>
      <w:r w:rsidRPr="00223E87">
        <w:rPr>
          <w:rFonts w:ascii="Times New Roman" w:hAnsi="Times New Roman" w:cs="Times New Roman"/>
        </w:rPr>
        <w:t xml:space="preserve"> are arguably exogenous to any one producers production </w:t>
      </w:r>
      <w:r w:rsidR="0030025C" w:rsidRPr="00223E87">
        <w:rPr>
          <w:rFonts w:ascii="Times New Roman" w:hAnsi="Times New Roman" w:cs="Times New Roman"/>
        </w:rPr>
        <w:t>decision</w:t>
      </w:r>
      <w:r w:rsidRPr="00223E87">
        <w:rPr>
          <w:rFonts w:ascii="Times New Roman" w:hAnsi="Times New Roman" w:cs="Times New Roman"/>
        </w:rPr>
        <w:t xml:space="preserve"> (including their choices related to cover crop use). These parameters are referred to as the “policy parameter space” by </w:t>
      </w:r>
      <w:r w:rsidRPr="00223E87">
        <w:rPr>
          <w:rFonts w:ascii="Times New Roman" w:hAnsi="Times New Roman" w:cs="Times New Roman"/>
        </w:rPr>
        <w:fldChar w:fldCharType="begin"/>
      </w:r>
      <w:r w:rsidR="00855D90" w:rsidRPr="00223E87">
        <w:rPr>
          <w:rFonts w:ascii="Times New Roman" w:hAnsi="Times New Roman" w:cs="Times New Roman"/>
        </w:rPr>
        <w:instrText xml:space="preserve"> ADDIN ZOTERO_ITEM CSL_CITATION {"citationID":"zdHkCynt","properties":{"formattedCitation":"(Tsiboe and Turner 2023a)","plainCitation":"(Tsiboe and Turner 2023a)","noteIndex":0},"citationItems":[{"id":"cEVhWlxo/kxYZvgTu","uris":["http://zotero.org/users/11173300/items/MEZWTZZJ"],"itemData":{"id":326,"type":"article-journal","container-title":"Agricultural and Resource Economics Review","title":"Econometric Identification of Crop Insurance Participation","author":[{"family":"Tsiboe","given":"Francis"},{"family":"Turner","given":"Dylan"}],"issued":{"date-parts":[["2023"]]}}}],"schema":"https://github.com/citation-style-language/schema/raw/master/csl-citation.json"} </w:instrText>
      </w:r>
      <w:r w:rsidRPr="00223E87">
        <w:rPr>
          <w:rFonts w:ascii="Times New Roman" w:hAnsi="Times New Roman" w:cs="Times New Roman"/>
        </w:rPr>
        <w:fldChar w:fldCharType="separate"/>
      </w:r>
      <w:r w:rsidR="00855D90" w:rsidRPr="00223E87">
        <w:rPr>
          <w:rFonts w:ascii="Times New Roman" w:hAnsi="Times New Roman" w:cs="Times New Roman"/>
        </w:rPr>
        <w:t>(Tsiboe and Turner 2023a)</w:t>
      </w:r>
      <w:r w:rsidRPr="00223E87">
        <w:rPr>
          <w:rFonts w:ascii="Times New Roman" w:hAnsi="Times New Roman" w:cs="Times New Roman"/>
        </w:rPr>
        <w:fldChar w:fldCharType="end"/>
      </w:r>
      <w:r w:rsidRPr="00223E87">
        <w:rPr>
          <w:rFonts w:ascii="Times New Roman" w:hAnsi="Times New Roman" w:cs="Times New Roman"/>
        </w:rPr>
        <w:t xml:space="preserve"> and include the county base rate (</w:t>
      </w:r>
      <m:oMath>
        <m:r>
          <w:rPr>
            <w:rFonts w:ascii="Cambria Math" w:hAnsi="Cambria Math" w:cs="Times New Roman"/>
          </w:rPr>
          <m:t>α</m:t>
        </m:r>
      </m:oMath>
      <w:r w:rsidRPr="00223E87">
        <w:rPr>
          <w:rFonts w:ascii="Times New Roman" w:hAnsi="Times New Roman" w:cs="Times New Roman"/>
        </w:rPr>
        <w:t>), the continuous rating exponent (</w:t>
      </w:r>
      <m:oMath>
        <m:r>
          <w:rPr>
            <w:rFonts w:ascii="Cambria Math" w:hAnsi="Cambria Math" w:cs="Times New Roman"/>
          </w:rPr>
          <m:t>β</m:t>
        </m:r>
      </m:oMath>
      <w:r w:rsidRPr="00223E87">
        <w:rPr>
          <w:rFonts w:ascii="Times New Roman" w:hAnsi="Times New Roman" w:cs="Times New Roman"/>
        </w:rPr>
        <w:t>), the catastrophic loading factor (</w:t>
      </w:r>
      <m:oMath>
        <m:r>
          <w:rPr>
            <w:rFonts w:ascii="Cambria Math" w:hAnsi="Cambria Math" w:cs="Times New Roman"/>
          </w:rPr>
          <m:t>δ</m:t>
        </m:r>
      </m:oMath>
      <w:r w:rsidRPr="00223E87">
        <w:rPr>
          <w:rFonts w:ascii="Times New Roman" w:hAnsi="Times New Roman" w:cs="Times New Roman"/>
        </w:rPr>
        <w:t>) and the county average yield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c</m:t>
            </m:r>
          </m:sub>
        </m:sSub>
      </m:oMath>
      <w:r w:rsidRPr="00223E87">
        <w:rPr>
          <w:rFonts w:ascii="Times New Roman" w:hAnsi="Times New Roman" w:cs="Times New Roman"/>
        </w:rPr>
        <w:t xml:space="preserve">). </w:t>
      </w:r>
      <w:r w:rsidRPr="00223E87">
        <w:rPr>
          <w:rFonts w:ascii="Times New Roman" w:eastAsiaTheme="minorEastAsia" w:hAnsi="Times New Roman" w:cs="Times New Roman"/>
        </w:rPr>
        <w:tab/>
      </w:r>
    </w:p>
    <w:p w14:paraId="3C52E9F4" w14:textId="4B8533B6" w:rsidR="00514D4C" w:rsidRPr="00223E87" w:rsidRDefault="00514D4C" w:rsidP="0030025C">
      <w:pPr>
        <w:jc w:val="both"/>
        <w:rPr>
          <w:rFonts w:ascii="Times New Roman" w:hAnsi="Times New Roman" w:cs="Times New Roman"/>
        </w:rPr>
      </w:pPr>
      <w:r w:rsidRPr="00223E87">
        <w:rPr>
          <w:rFonts w:ascii="Times New Roman" w:hAnsi="Times New Roman" w:cs="Times New Roman"/>
        </w:rPr>
        <w:t xml:space="preserve">With the exception of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c</m:t>
            </m:r>
          </m:sub>
        </m:sSub>
      </m:oMath>
      <w:r w:rsidRPr="00223E87">
        <w:rPr>
          <w:rFonts w:ascii="Times New Roman" w:hAnsi="Times New Roman" w:cs="Times New Roman"/>
        </w:rPr>
        <w:t xml:space="preserve">, which is a simple average of the historic APH of all producers in the same county producing the same crop, the other parameters are not updated on an annual basis but are instead subject to review every 3-5 years </w:t>
      </w:r>
      <w:r w:rsidRPr="00223E87">
        <w:rPr>
          <w:rFonts w:ascii="Times New Roman" w:hAnsi="Times New Roman" w:cs="Times New Roman"/>
        </w:rPr>
        <w:fldChar w:fldCharType="begin"/>
      </w:r>
      <w:r w:rsidR="00855D90" w:rsidRPr="00223E87">
        <w:rPr>
          <w:rFonts w:ascii="Times New Roman" w:hAnsi="Times New Roman" w:cs="Times New Roman"/>
        </w:rPr>
        <w:instrText xml:space="preserve"> ADDIN ZOTERO_ITEM CSL_CITATION {"citationID":"WLLjkwQ4","properties":{"formattedCitation":"(Risk Management Agency 2008)","plainCitation":"(Risk Management Agency 2008)","noteIndex":0},"citationItems":[{"id":"cEVhWlxo/s5NwcCyU","uris":["http://zotero.org/users/11173300/items/BMS8EZTE"],"itemData":{"id":128,"type":"document","title":"Rate Methodology Handbook Actual Production History (APH)","URL":"https://rma.usda.gov/-/media/RMA/Publications/ratemethodology.ashx?la=en","author":[{"family":"Risk Management Agency","given":""}],"issued":{"date-parts":[["2008",3]]}}}],"schema":"https://github.com/citation-style-language/schema/raw/master/csl-citation.json"} </w:instrText>
      </w:r>
      <w:r w:rsidRPr="00223E87">
        <w:rPr>
          <w:rFonts w:ascii="Times New Roman" w:hAnsi="Times New Roman" w:cs="Times New Roman"/>
        </w:rPr>
        <w:fldChar w:fldCharType="separate"/>
      </w:r>
      <w:r w:rsidR="00855D90" w:rsidRPr="00223E87">
        <w:rPr>
          <w:rFonts w:ascii="Times New Roman" w:hAnsi="Times New Roman" w:cs="Times New Roman"/>
        </w:rPr>
        <w:t>(Risk Management Agency 2008)</w:t>
      </w:r>
      <w:r w:rsidRPr="00223E87">
        <w:rPr>
          <w:rFonts w:ascii="Times New Roman" w:hAnsi="Times New Roman" w:cs="Times New Roman"/>
        </w:rPr>
        <w:fldChar w:fldCharType="end"/>
      </w:r>
      <w:r w:rsidRPr="00223E87">
        <w:rPr>
          <w:rFonts w:ascii="Times New Roman" w:hAnsi="Times New Roman" w:cs="Times New Roman"/>
        </w:rPr>
        <w:t xml:space="preserve">. Additionally, these parameters are updated in accordance with RMA’s practice of loss cost ratio rate making, which means these parameters are updated only to maintain the actuarial property that the loss cost ratio be equal to the expected indemnity rate. </w:t>
      </w:r>
    </w:p>
    <w:p w14:paraId="53E6043D" w14:textId="020712B2" w:rsidR="00514D4C" w:rsidRPr="00223E87" w:rsidRDefault="00514D4C" w:rsidP="0030025C">
      <w:pPr>
        <w:jc w:val="both"/>
        <w:rPr>
          <w:rFonts w:ascii="Times New Roman" w:hAnsi="Times New Roman" w:cs="Times New Roman"/>
        </w:rPr>
      </w:pPr>
      <w:r w:rsidRPr="00223E87">
        <w:rPr>
          <w:rFonts w:ascii="Times New Roman" w:hAnsi="Times New Roman" w:cs="Times New Roman"/>
        </w:rPr>
        <w:t xml:space="preserve"> Since these rating parameters are only updated in response to noticeable degradation of the actuarial performance of an insurance pool, many factors that influence a farmer’s yield (weather, </w:t>
      </w:r>
      <w:r w:rsidRPr="00223E87">
        <w:rPr>
          <w:rFonts w:ascii="Times New Roman" w:hAnsi="Times New Roman" w:cs="Times New Roman"/>
        </w:rPr>
        <w:lastRenderedPageBreak/>
        <w:t xml:space="preserve">changes in production methods, etc.) do not cause changes in these “exogenous” rating parameters since many of these events do not result in indemnity payments (due to deductibles being </w:t>
      </w:r>
      <w:r w:rsidR="0030025C" w:rsidRPr="00223E87">
        <w:rPr>
          <w:rFonts w:ascii="Times New Roman" w:hAnsi="Times New Roman" w:cs="Times New Roman"/>
        </w:rPr>
        <w:t>large</w:t>
      </w:r>
      <w:r w:rsidRPr="00223E87">
        <w:rPr>
          <w:rFonts w:ascii="Times New Roman" w:hAnsi="Times New Roman" w:cs="Times New Roman"/>
        </w:rPr>
        <w:t>)</w:t>
      </w:r>
      <w:r w:rsidRPr="00223E87">
        <w:rPr>
          <w:rStyle w:val="FootnoteReference"/>
          <w:rFonts w:ascii="Times New Roman" w:hAnsi="Times New Roman" w:cs="Times New Roman"/>
        </w:rPr>
        <w:footnoteReference w:id="4"/>
      </w:r>
      <w:r w:rsidRPr="00223E87">
        <w:rPr>
          <w:rFonts w:ascii="Times New Roman" w:hAnsi="Times New Roman" w:cs="Times New Roman"/>
        </w:rPr>
        <w:t xml:space="preserve">. Even when indemnity payments do occur in response to these events, they must be widespread enough to meaningfully impact actuarial performance. In effect, this means that the actions of a producer have a trivial influence on the “exogenous” set of actuarial rating parameters they will face in the future. Even if a single producer was large enough to single handedly alter the actuarial performance of the county they are in, </w:t>
      </w:r>
      <w:r w:rsidR="0030025C" w:rsidRPr="00223E87">
        <w:rPr>
          <w:rFonts w:ascii="Times New Roman" w:hAnsi="Times New Roman" w:cs="Times New Roman"/>
        </w:rPr>
        <w:t>several</w:t>
      </w:r>
      <w:r w:rsidRPr="00223E87">
        <w:rPr>
          <w:rFonts w:ascii="Times New Roman" w:hAnsi="Times New Roman" w:cs="Times New Roman"/>
        </w:rPr>
        <w:t xml:space="preserve"> </w:t>
      </w:r>
      <w:r w:rsidR="0030025C" w:rsidRPr="00223E87">
        <w:rPr>
          <w:rFonts w:ascii="Times New Roman" w:hAnsi="Times New Roman" w:cs="Times New Roman"/>
        </w:rPr>
        <w:t>rates</w:t>
      </w:r>
      <w:r w:rsidRPr="00223E87">
        <w:rPr>
          <w:rFonts w:ascii="Times New Roman" w:hAnsi="Times New Roman" w:cs="Times New Roman"/>
        </w:rPr>
        <w:t xml:space="preserve"> making practices are employed by RMA to further limit the influence that any single producer has on the policy parameters they face in the future. </w:t>
      </w:r>
    </w:p>
    <w:p w14:paraId="3A3D86C1" w14:textId="085BD727" w:rsidR="00514D4C" w:rsidRPr="00223E87" w:rsidRDefault="00514D4C" w:rsidP="0030025C">
      <w:pPr>
        <w:jc w:val="both"/>
        <w:rPr>
          <w:rFonts w:ascii="Times New Roman" w:hAnsi="Times New Roman" w:cs="Times New Roman"/>
        </w:rPr>
      </w:pPr>
      <w:r w:rsidRPr="00223E87">
        <w:rPr>
          <w:rFonts w:ascii="Times New Roman" w:hAnsi="Times New Roman" w:cs="Times New Roman"/>
        </w:rPr>
        <w:t xml:space="preserve">First, RMA employs what they refer to as “credibility weighting” which is their term for a spatial smoothing algorithm that seeks to attenuate large discontinuities in crop insurance pricing along county borders </w:t>
      </w:r>
      <w:r w:rsidRPr="00223E87">
        <w:rPr>
          <w:rFonts w:ascii="Times New Roman" w:hAnsi="Times New Roman" w:cs="Times New Roman"/>
        </w:rPr>
        <w:fldChar w:fldCharType="begin" w:fldLock="1"/>
      </w:r>
      <w:r w:rsidR="00855D90" w:rsidRPr="00223E87">
        <w:rPr>
          <w:rFonts w:ascii="Times New Roman" w:hAnsi="Times New Roman" w:cs="Times New Roman"/>
        </w:rPr>
        <w:instrText xml:space="preserve"> ADDIN ZOTERO_ITEM CSL_CITATION {"citationID":"XtgEiG7T","properties":{"formattedCitation":"(Risk Management Agency [RMA] 2009; Coble et al. 2010)","plainCitation":"(Risk Management Agency [RMA] 2009; Coble et al. 2010)","noteIndex":0},"citationItems":[{"id":2000,"uris":["http://www.mendeley.com/documents/?uuid=6916a819-4813-486d-b221-f96b77a96408","http://zotero.org/users/12297313/items/P8CJ2I9M"],"itemData":{"id":2000,"type":"webpage","title":"Rate Methodology Handbook Actual Production History (APH)","URL":"https://www.rma.usda.gov/-/media/RMA/Publications/ratemethodology.ashx?la=en","author":[{"literal":"Risk Management Agency [RMA]"}],"accessed":{"date-parts":[["2023",4,24]]},"issued":{"date-parts":[["2009"]]}}},{"id":1588,"uris":["http://www.mendeley.com/documents/?uuid=937cd3e0-3361-3a68-b7f0-00f8ceacc875","http://zotero.org/users/12297313/items/BUCIW6IB"],"itemData":{"id":1588,"type":"webpage","title":"A Comprehensive Review of the RMA APH and COMBO Rating Methodology Final Report","URL":"https://www.rma.usda.gov/sites/default/files/topics/comprehensivereview.pdf","author":[{"family":"Coble","given":"Keith H"},{"family":"Knight","given":"Thomas O"},{"family":"Goodwin","given":"Barry K"},{"family":"Miller","given":"Mary Frances"},{"family":"Rejesus","given":"Roderick M"},{"family":"Duffield","given":"George"}],"accessed":{"date-parts":[["2019",5,23]]},"issued":{"date-parts":[["2010"]]}}}],"schema":"https://github.com/citation-style-language/schema/raw/master/csl-citation.json"} </w:instrText>
      </w:r>
      <w:r w:rsidRPr="00223E87">
        <w:rPr>
          <w:rFonts w:ascii="Times New Roman" w:hAnsi="Times New Roman" w:cs="Times New Roman"/>
        </w:rPr>
        <w:fldChar w:fldCharType="separate"/>
      </w:r>
      <w:r w:rsidR="00855D90" w:rsidRPr="00223E87">
        <w:rPr>
          <w:rFonts w:ascii="Times New Roman" w:hAnsi="Times New Roman" w:cs="Times New Roman"/>
        </w:rPr>
        <w:t>(Risk Management Agency [RMA] 2009; Coble et al. 2010)</w:t>
      </w:r>
      <w:r w:rsidRPr="00223E87">
        <w:rPr>
          <w:rFonts w:ascii="Times New Roman" w:hAnsi="Times New Roman" w:cs="Times New Roman"/>
        </w:rPr>
        <w:fldChar w:fldCharType="end"/>
      </w:r>
      <w:r w:rsidRPr="00223E87">
        <w:rPr>
          <w:rFonts w:ascii="Times New Roman" w:hAnsi="Times New Roman" w:cs="Times New Roman"/>
        </w:rPr>
        <w:t xml:space="preserve">. Credibility weighting also serves to down-weight the loss experience of counties that are highly variable (in which case the loss experience of neighboring counties is used more heavily in the rate making process). In effect, this means that a single producer’s county base rate is based on all producers within their county and all the producers in all adjoining counties. Consequently, the influence that a single producer has on the future base rate that they face is negligible. </w:t>
      </w:r>
    </w:p>
    <w:p w14:paraId="656777D9" w14:textId="46EC9AED" w:rsidR="00514D4C" w:rsidRPr="00223E87" w:rsidRDefault="00514D4C" w:rsidP="0030025C">
      <w:pPr>
        <w:jc w:val="both"/>
        <w:rPr>
          <w:rFonts w:ascii="Times New Roman" w:hAnsi="Times New Roman" w:cs="Times New Roman"/>
        </w:rPr>
      </w:pPr>
      <w:r w:rsidRPr="00223E87">
        <w:rPr>
          <w:rFonts w:ascii="Times New Roman" w:hAnsi="Times New Roman" w:cs="Times New Roman"/>
        </w:rPr>
        <w:t xml:space="preserve">A producer’s ability to influence the future policy parameters they face is analogous to a U.S. based homebuyer’s ability to influence their own mortgage interest rate. For example, a potential homebuyer could temporarily reduce their own spending to try to single-handedly lower national consumer spending metrics which in turn could cause the federal reserve to lower interest rates </w:t>
      </w:r>
      <w:r w:rsidR="00A62396" w:rsidRPr="00223E87">
        <w:rPr>
          <w:rFonts w:ascii="Times New Roman" w:hAnsi="Times New Roman" w:cs="Times New Roman"/>
        </w:rPr>
        <w:t>to</w:t>
      </w:r>
      <w:r w:rsidRPr="00223E87">
        <w:rPr>
          <w:rFonts w:ascii="Times New Roman" w:hAnsi="Times New Roman" w:cs="Times New Roman"/>
        </w:rPr>
        <w:t xml:space="preserve"> restimulate the economy. This in turn will allow the potential homebuyer to purchase their home at a more favorable mortgage interest rate. In this case, the federal reserve interest rate is technically “endogenous” to this homebuyer’s behavior since their individual spending does technically contribute to national measures of consumer spending, but it would be unreasonable to think that an individual consumer’s behavior could manipulate national interest rates in a way that provides them with a financial advantage.  Thus, in this case the federal reserve rate is exogenous to any single individual’s behavior by virtue of no one person having enough influence to alter consumer demand in a meaningful way. </w:t>
      </w:r>
    </w:p>
    <w:p w14:paraId="4D6DA296" w14:textId="77777777" w:rsidR="00514D4C" w:rsidRPr="00223E87" w:rsidRDefault="00514D4C" w:rsidP="0030025C">
      <w:pPr>
        <w:jc w:val="both"/>
        <w:rPr>
          <w:rFonts w:ascii="Times New Roman" w:hAnsi="Times New Roman" w:cs="Times New Roman"/>
        </w:rPr>
      </w:pPr>
      <w:r w:rsidRPr="00223E87">
        <w:rPr>
          <w:rFonts w:ascii="Times New Roman" w:hAnsi="Times New Roman" w:cs="Times New Roman"/>
        </w:rPr>
        <w:t>The above example is somewhat extreme, but our own identification strategy operates on the same principle. The average number of crop insurance policies associated with a county-crop-year group (ex: policies associated with corn producers in a single county in Iowa during the 2018 crop year would constitute one group) between 2011-2021 is 128. This means there are 128 crop insurance policies that contribute to the average county’s loss experience that influences the county base rate. When credibility weighting is considered, the average county has an additional 669 policies in adjoining counties that can influence the county base rate. In other words, the purchasers of approximately 800 policies (or at least a large portion of those) would need to collude to intentionally influence their county base rate. However, even widespread collusion would not guarantee favorable rates for this potential group of coordinated producers.</w:t>
      </w:r>
    </w:p>
    <w:p w14:paraId="02033DC5" w14:textId="08002B25" w:rsidR="00514D4C" w:rsidRPr="00223E87" w:rsidRDefault="00514D4C" w:rsidP="0030025C">
      <w:pPr>
        <w:jc w:val="both"/>
        <w:rPr>
          <w:rFonts w:ascii="Times New Roman" w:hAnsi="Times New Roman" w:cs="Times New Roman"/>
        </w:rPr>
      </w:pPr>
      <w:r w:rsidRPr="00223E87">
        <w:rPr>
          <w:rFonts w:ascii="Times New Roman" w:hAnsi="Times New Roman" w:cs="Times New Roman"/>
        </w:rPr>
        <w:t xml:space="preserve">In addition to credibility weighting which spatially smooths county base rates, when RMA subjects a particular county/crop pair to a rate review (which as noted above takes place on either a </w:t>
      </w:r>
      <w:r w:rsidR="00BA3283" w:rsidRPr="00223E87">
        <w:rPr>
          <w:rFonts w:ascii="Times New Roman" w:hAnsi="Times New Roman" w:cs="Times New Roman"/>
        </w:rPr>
        <w:t xml:space="preserve">3- or </w:t>
      </w:r>
      <w:r w:rsidR="00BA3283" w:rsidRPr="00223E87">
        <w:rPr>
          <w:rFonts w:ascii="Times New Roman" w:hAnsi="Times New Roman" w:cs="Times New Roman"/>
        </w:rPr>
        <w:lastRenderedPageBreak/>
        <w:t>5-year</w:t>
      </w:r>
      <w:r w:rsidRPr="00223E87">
        <w:rPr>
          <w:rFonts w:ascii="Times New Roman" w:hAnsi="Times New Roman" w:cs="Times New Roman"/>
        </w:rPr>
        <w:t xml:space="preserve"> cycle), the historic loss experience data from the previous 20 years is utilized starting from two crop years before the current crop year. </w:t>
      </w:r>
      <w:r w:rsidR="00852C4F" w:rsidRPr="00223E87">
        <w:rPr>
          <w:rFonts w:ascii="Times New Roman" w:hAnsi="Times New Roman" w:cs="Times New Roman"/>
        </w:rPr>
        <w:t>This imposes</w:t>
      </w:r>
      <w:r w:rsidRPr="00223E87">
        <w:rPr>
          <w:rFonts w:ascii="Times New Roman" w:hAnsi="Times New Roman" w:cs="Times New Roman"/>
        </w:rPr>
        <w:t xml:space="preserve"> additional temporal separation between the decisions of a producer and the county base rate they face. Lastly, RMA retains the right to use their professional judgement to subjectively rate crop insurance policies in cases where they believe their standard rating practices are not adequate which provides an additional buffer between a producer’s behavior and their county base rate </w:t>
      </w:r>
      <w:r w:rsidRPr="00223E87">
        <w:rPr>
          <w:rFonts w:ascii="Times New Roman" w:hAnsi="Times New Roman" w:cs="Times New Roman"/>
        </w:rPr>
        <w:fldChar w:fldCharType="begin" w:fldLock="1"/>
      </w:r>
      <w:r w:rsidR="00855D90" w:rsidRPr="00223E87">
        <w:rPr>
          <w:rFonts w:ascii="Times New Roman" w:hAnsi="Times New Roman" w:cs="Times New Roman"/>
        </w:rPr>
        <w:instrText xml:space="preserve"> ADDIN ZOTERO_ITEM CSL_CITATION {"citationID":"cnVKJu4v","properties":{"formattedCitation":"(Coble et al. 2010)","plainCitation":"(Coble et al. 2010)","noteIndex":0},"citationItems":[{"id":1588,"uris":["http://www.mendeley.com/documents/?uuid=937cd3e0-3361-3a68-b7f0-00f8ceacc875","http://zotero.org/users/12297313/items/BUCIW6IB"],"itemData":{"id":1588,"type":"webpage","title":"A Comprehensive Review of the RMA APH and COMBO Rating Methodology Final Report","URL":"https://www.rma.usda.gov/sites/default/files/topics/comprehensivereview.pdf","author":[{"family":"Coble","given":"Keith H"},{"family":"Knight","given":"Thomas O"},{"family":"Goodwin","given":"Barry K"},{"family":"Miller","given":"Mary Frances"},{"family":"Rejesus","given":"Roderick M"},{"family":"Duffield","given":"George"}],"accessed":{"date-parts":[["2019",5,23]]},"issued":{"date-parts":[["2010"]]}}}],"schema":"https://github.com/citation-style-language/schema/raw/master/csl-citation.json"} </w:instrText>
      </w:r>
      <w:r w:rsidRPr="00223E87">
        <w:rPr>
          <w:rFonts w:ascii="Times New Roman" w:hAnsi="Times New Roman" w:cs="Times New Roman"/>
        </w:rPr>
        <w:fldChar w:fldCharType="separate"/>
      </w:r>
      <w:r w:rsidR="00855D90" w:rsidRPr="00223E87">
        <w:rPr>
          <w:rFonts w:ascii="Times New Roman" w:hAnsi="Times New Roman" w:cs="Times New Roman"/>
        </w:rPr>
        <w:t>(Coble et al. 2010)</w:t>
      </w:r>
      <w:r w:rsidRPr="00223E87">
        <w:rPr>
          <w:rFonts w:ascii="Times New Roman" w:hAnsi="Times New Roman" w:cs="Times New Roman"/>
        </w:rPr>
        <w:fldChar w:fldCharType="end"/>
      </w:r>
      <w:r w:rsidRPr="00223E87">
        <w:rPr>
          <w:rFonts w:ascii="Times New Roman" w:hAnsi="Times New Roman" w:cs="Times New Roman"/>
        </w:rPr>
        <w:t xml:space="preserve">. </w:t>
      </w:r>
    </w:p>
    <w:p w14:paraId="329FB56C" w14:textId="5B1ADF4D" w:rsidR="00514D4C" w:rsidRDefault="0030025C" w:rsidP="0030025C">
      <w:pPr>
        <w:pStyle w:val="Heading1"/>
      </w:pPr>
      <w:r w:rsidRPr="00223E87">
        <w:t xml:space="preserve">References  </w:t>
      </w:r>
    </w:p>
    <w:p w14:paraId="372C7E24" w14:textId="77777777" w:rsidR="004941CB" w:rsidRPr="004941CB" w:rsidRDefault="004941CB" w:rsidP="004941CB"/>
    <w:p w14:paraId="3717E508" w14:textId="77777777" w:rsidR="00223E87" w:rsidRPr="00223E87" w:rsidRDefault="00223E87" w:rsidP="00223E87">
      <w:pPr>
        <w:pStyle w:val="Bibliography"/>
        <w:rPr>
          <w:rFonts w:ascii="Times New Roman" w:hAnsi="Times New Roman" w:cs="Times New Roman"/>
        </w:rPr>
      </w:pPr>
      <w:r w:rsidRPr="00223E87">
        <w:rPr>
          <w:rFonts w:ascii="Times New Roman" w:hAnsi="Times New Roman" w:cs="Times New Roman"/>
        </w:rPr>
        <w:fldChar w:fldCharType="begin"/>
      </w:r>
      <w:r w:rsidRPr="00223E87">
        <w:rPr>
          <w:rFonts w:ascii="Times New Roman" w:hAnsi="Times New Roman" w:cs="Times New Roman"/>
        </w:rPr>
        <w:instrText xml:space="preserve"> ADDIN ZOTERO_BIBL {"uncited":[],"omitted":[],"custom":[]} CSL_BIBLIOGRAPHY </w:instrText>
      </w:r>
      <w:r w:rsidRPr="00223E87">
        <w:rPr>
          <w:rFonts w:ascii="Times New Roman" w:hAnsi="Times New Roman" w:cs="Times New Roman"/>
        </w:rPr>
        <w:fldChar w:fldCharType="separate"/>
      </w:r>
      <w:r w:rsidRPr="00223E87">
        <w:rPr>
          <w:rFonts w:ascii="Times New Roman" w:hAnsi="Times New Roman" w:cs="Times New Roman"/>
        </w:rPr>
        <w:t>Coble, K.H., T.O. Knight, B.K. Goodwin, M.F. Miller, R.M. Rejesus, and G. Duffield. 2010. “A Comprehensive Review of the RMA APH and COMBO Rating Methodology Final Report.” Available at: https://www.rma.usda.gov/sites/default/files/topics/comprehensivereview.pdf [Accessed May 23, 2019].</w:t>
      </w:r>
    </w:p>
    <w:p w14:paraId="2ABA25C5" w14:textId="77777777" w:rsidR="00223E87" w:rsidRPr="00223E87" w:rsidRDefault="00223E87" w:rsidP="00223E87">
      <w:pPr>
        <w:pStyle w:val="Bibliography"/>
        <w:rPr>
          <w:rFonts w:ascii="Times New Roman" w:hAnsi="Times New Roman" w:cs="Times New Roman"/>
        </w:rPr>
      </w:pPr>
      <w:r w:rsidRPr="00223E87">
        <w:rPr>
          <w:rFonts w:ascii="Times New Roman" w:hAnsi="Times New Roman" w:cs="Times New Roman"/>
        </w:rPr>
        <w:t>Risk Management Agency. 2008. “Rate Methodology Handbook Actual Production History (APH).” Available at: https://rma.usda.gov/-/media/RMA/Publications/ratemethodology.ashx?la=en.</w:t>
      </w:r>
    </w:p>
    <w:p w14:paraId="4247C371" w14:textId="77777777" w:rsidR="00223E87" w:rsidRPr="00223E87" w:rsidRDefault="00223E87" w:rsidP="00223E87">
      <w:pPr>
        <w:pStyle w:val="Bibliography"/>
        <w:rPr>
          <w:rFonts w:ascii="Times New Roman" w:hAnsi="Times New Roman" w:cs="Times New Roman"/>
        </w:rPr>
      </w:pPr>
      <w:r w:rsidRPr="00223E87">
        <w:rPr>
          <w:rFonts w:ascii="Times New Roman" w:hAnsi="Times New Roman" w:cs="Times New Roman"/>
        </w:rPr>
        <w:t>Risk Management Agency [RMA]. 2009. “Rate Methodology Handbook Actual Production History (APH).” Available at: https://www.rma.usda.gov/-/media/RMA/Publications/ratemethodology.ashx?la=en [Accessed April 24, 2023].</w:t>
      </w:r>
    </w:p>
    <w:p w14:paraId="5621ADD3" w14:textId="77777777" w:rsidR="00223E87" w:rsidRPr="00223E87" w:rsidRDefault="00223E87" w:rsidP="00223E87">
      <w:pPr>
        <w:pStyle w:val="Bibliography"/>
        <w:rPr>
          <w:rFonts w:ascii="Times New Roman" w:hAnsi="Times New Roman" w:cs="Times New Roman"/>
        </w:rPr>
      </w:pPr>
      <w:r w:rsidRPr="00223E87">
        <w:rPr>
          <w:rFonts w:ascii="Times New Roman" w:hAnsi="Times New Roman" w:cs="Times New Roman"/>
        </w:rPr>
        <w:t xml:space="preserve">Tsiboe, F., and D. Turner. 2023a. “Econometric Identification of Crop Insurance Participation.” </w:t>
      </w:r>
      <w:r w:rsidRPr="00223E87">
        <w:rPr>
          <w:rFonts w:ascii="Times New Roman" w:hAnsi="Times New Roman" w:cs="Times New Roman"/>
          <w:i/>
          <w:iCs/>
        </w:rPr>
        <w:t>Agricultural and Resource Economics Review</w:t>
      </w:r>
      <w:r w:rsidRPr="00223E87">
        <w:rPr>
          <w:rFonts w:ascii="Times New Roman" w:hAnsi="Times New Roman" w:cs="Times New Roman"/>
        </w:rPr>
        <w:t>.</w:t>
      </w:r>
    </w:p>
    <w:p w14:paraId="65166772" w14:textId="77777777" w:rsidR="00223E87" w:rsidRPr="00223E87" w:rsidRDefault="00223E87" w:rsidP="00223E87">
      <w:pPr>
        <w:pStyle w:val="Bibliography"/>
        <w:rPr>
          <w:rFonts w:ascii="Times New Roman" w:hAnsi="Times New Roman" w:cs="Times New Roman"/>
        </w:rPr>
      </w:pPr>
      <w:r w:rsidRPr="00223E87">
        <w:rPr>
          <w:rFonts w:ascii="Times New Roman" w:hAnsi="Times New Roman" w:cs="Times New Roman"/>
        </w:rPr>
        <w:t xml:space="preserve">Tsiboe, F., and D. Turner. 2023b. “The Crop Insurance Demand Response to Premium Subsidies: Evidence from U.S. Agriculture.” </w:t>
      </w:r>
      <w:r w:rsidRPr="00223E87">
        <w:rPr>
          <w:rFonts w:ascii="Times New Roman" w:hAnsi="Times New Roman" w:cs="Times New Roman"/>
          <w:i/>
          <w:iCs/>
        </w:rPr>
        <w:t>Food Policy</w:t>
      </w:r>
      <w:r w:rsidRPr="00223E87">
        <w:rPr>
          <w:rFonts w:ascii="Times New Roman" w:hAnsi="Times New Roman" w:cs="Times New Roman"/>
        </w:rPr>
        <w:t xml:space="preserve"> 119:102505.</w:t>
      </w:r>
    </w:p>
    <w:p w14:paraId="6260EA2A" w14:textId="18790E79" w:rsidR="0030025C" w:rsidRPr="00223E87" w:rsidRDefault="00223E87" w:rsidP="0030025C">
      <w:pPr>
        <w:rPr>
          <w:rFonts w:ascii="Times New Roman" w:hAnsi="Times New Roman" w:cs="Times New Roman"/>
        </w:rPr>
      </w:pPr>
      <w:r w:rsidRPr="00223E87">
        <w:rPr>
          <w:rFonts w:ascii="Times New Roman" w:hAnsi="Times New Roman" w:cs="Times New Roman"/>
        </w:rPr>
        <w:fldChar w:fldCharType="end"/>
      </w:r>
    </w:p>
    <w:sectPr w:rsidR="0030025C" w:rsidRPr="00223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29453" w14:textId="77777777" w:rsidR="00514D4C" w:rsidRDefault="00514D4C" w:rsidP="00514D4C">
      <w:pPr>
        <w:spacing w:after="0"/>
      </w:pPr>
      <w:r>
        <w:separator/>
      </w:r>
    </w:p>
  </w:endnote>
  <w:endnote w:type="continuationSeparator" w:id="0">
    <w:p w14:paraId="5FE79AF1" w14:textId="77777777" w:rsidR="00514D4C" w:rsidRDefault="00514D4C" w:rsidP="00514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9FB4F" w14:textId="77777777" w:rsidR="00514D4C" w:rsidRDefault="00514D4C" w:rsidP="00514D4C">
      <w:pPr>
        <w:spacing w:after="0"/>
      </w:pPr>
      <w:r>
        <w:separator/>
      </w:r>
    </w:p>
  </w:footnote>
  <w:footnote w:type="continuationSeparator" w:id="0">
    <w:p w14:paraId="01DD570D" w14:textId="77777777" w:rsidR="00514D4C" w:rsidRDefault="00514D4C" w:rsidP="00514D4C">
      <w:pPr>
        <w:spacing w:after="0"/>
      </w:pPr>
      <w:r>
        <w:continuationSeparator/>
      </w:r>
    </w:p>
  </w:footnote>
  <w:footnote w:id="1">
    <w:p w14:paraId="4D36C83E" w14:textId="77777777" w:rsidR="00514D4C" w:rsidRPr="00A5258A" w:rsidRDefault="00514D4C" w:rsidP="00514D4C">
      <w:pPr>
        <w:pStyle w:val="FootnoteText"/>
        <w:rPr>
          <w:rFonts w:ascii="Times New Roman" w:hAnsi="Times New Roman" w:cs="Times New Roman"/>
          <w:sz w:val="20"/>
          <w:szCs w:val="20"/>
        </w:rPr>
      </w:pPr>
      <w:r w:rsidRPr="00A5258A">
        <w:rPr>
          <w:rStyle w:val="FootnoteReference"/>
          <w:rFonts w:ascii="Times New Roman" w:hAnsi="Times New Roman" w:cs="Times New Roman"/>
          <w:sz w:val="20"/>
          <w:szCs w:val="20"/>
        </w:rPr>
        <w:footnoteRef/>
      </w:r>
      <w:r w:rsidRPr="00A5258A">
        <w:rPr>
          <w:rFonts w:ascii="Times New Roman" w:hAnsi="Times New Roman" w:cs="Times New Roman"/>
          <w:sz w:val="20"/>
          <w:szCs w:val="20"/>
        </w:rPr>
        <w:t xml:space="preserve"> To some degree, simultaneity may also be a concern which further motivates the use of instrumental variables techniques. </w:t>
      </w:r>
    </w:p>
  </w:footnote>
  <w:footnote w:id="2">
    <w:p w14:paraId="49ACC40C" w14:textId="77777777" w:rsidR="00514D4C" w:rsidRPr="00181E6D" w:rsidRDefault="00514D4C" w:rsidP="00514D4C">
      <w:pPr>
        <w:pStyle w:val="FootnoteText"/>
        <w:rPr>
          <w:rFonts w:ascii="Times New Roman" w:hAnsi="Times New Roman" w:cs="Times New Roman"/>
          <w:sz w:val="20"/>
          <w:szCs w:val="20"/>
        </w:rPr>
      </w:pPr>
      <w:r w:rsidRPr="00181E6D">
        <w:rPr>
          <w:rStyle w:val="FootnoteReference"/>
          <w:rFonts w:ascii="Times New Roman" w:hAnsi="Times New Roman" w:cs="Times New Roman"/>
          <w:sz w:val="20"/>
          <w:szCs w:val="20"/>
        </w:rPr>
        <w:footnoteRef/>
      </w:r>
      <w:r w:rsidRPr="00181E6D">
        <w:rPr>
          <w:rFonts w:ascii="Times New Roman" w:hAnsi="Times New Roman" w:cs="Times New Roman"/>
          <w:sz w:val="20"/>
          <w:szCs w:val="20"/>
        </w:rPr>
        <w:t xml:space="preserve"> The base rate for the 65% coverage level is used as it historically has been one of the most common coverage levels chosen I the FCIP. </w:t>
      </w:r>
      <w:r w:rsidRPr="00181E6D">
        <w:rPr>
          <w:rStyle w:val="cf01"/>
          <w:rFonts w:ascii="Times New Roman" w:hAnsi="Times New Roman" w:cs="Times New Roman"/>
          <w:sz w:val="20"/>
          <w:szCs w:val="20"/>
        </w:rPr>
        <w:t>From 2001 to 2021, the 65, 70, and 75 percent coverage levels had made up 20, 23.5, and 21.5 percent of total policies purchased respectively.</w:t>
      </w:r>
      <w:r>
        <w:rPr>
          <w:rStyle w:val="cf01"/>
          <w:rFonts w:ascii="Times New Roman" w:hAnsi="Times New Roman" w:cs="Times New Roman"/>
          <w:sz w:val="20"/>
          <w:szCs w:val="20"/>
        </w:rPr>
        <w:t xml:space="preserve"> The 65% coverage level is also the base level used in RMA’s APH rating methodology (i.e. rates are set for the 65% coverage level then adjusted up or down to other coverage levels using a determined rate multiplier) (</w:t>
      </w:r>
      <w:r w:rsidRPr="002325D3">
        <w:rPr>
          <w:rFonts w:ascii="Times New Roman" w:hAnsi="Times New Roman" w:cs="Times New Roman"/>
          <w:sz w:val="20"/>
          <w:szCs w:val="20"/>
        </w:rPr>
        <w:t>Risk Management Agency, 2008</w:t>
      </w:r>
      <w:r>
        <w:rPr>
          <w:rStyle w:val="cf01"/>
          <w:rFonts w:ascii="Times New Roman" w:hAnsi="Times New Roman" w:cs="Times New Roman"/>
          <w:sz w:val="20"/>
          <w:szCs w:val="20"/>
        </w:rPr>
        <w:t>).</w:t>
      </w:r>
    </w:p>
  </w:footnote>
  <w:footnote w:id="3">
    <w:p w14:paraId="03E9CBD1" w14:textId="77777777" w:rsidR="00514D4C" w:rsidRPr="00A5258A" w:rsidRDefault="00514D4C" w:rsidP="00514D4C">
      <w:pPr>
        <w:pStyle w:val="FootnoteText"/>
        <w:rPr>
          <w:rFonts w:ascii="Times New Roman" w:hAnsi="Times New Roman" w:cs="Times New Roman"/>
          <w:sz w:val="20"/>
          <w:szCs w:val="20"/>
        </w:rPr>
      </w:pPr>
      <w:r w:rsidRPr="002325D3">
        <w:rPr>
          <w:rStyle w:val="FootnoteReference"/>
          <w:rFonts w:ascii="Times New Roman" w:hAnsi="Times New Roman" w:cs="Times New Roman"/>
          <w:sz w:val="20"/>
          <w:szCs w:val="20"/>
        </w:rPr>
        <w:footnoteRef/>
      </w:r>
      <w:r w:rsidRPr="002325D3">
        <w:rPr>
          <w:rFonts w:ascii="Times New Roman" w:hAnsi="Times New Roman" w:cs="Times New Roman"/>
          <w:sz w:val="20"/>
          <w:szCs w:val="20"/>
        </w:rPr>
        <w:t xml:space="preserve"> The “county base rate” is sometimes confused with the “target rate” (Risk Management Agency, 2008, Coble et al. 2010 )</w:t>
      </w:r>
      <w:r>
        <w:rPr>
          <w:rFonts w:ascii="Times New Roman" w:hAnsi="Times New Roman" w:cs="Times New Roman"/>
          <w:sz w:val="20"/>
          <w:szCs w:val="20"/>
        </w:rPr>
        <w:t>.</w:t>
      </w:r>
      <w:r w:rsidRPr="002325D3">
        <w:rPr>
          <w:rFonts w:ascii="Times New Roman" w:hAnsi="Times New Roman" w:cs="Times New Roman"/>
          <w:sz w:val="20"/>
          <w:szCs w:val="20"/>
        </w:rPr>
        <w:t xml:space="preserve"> Although similar, these two rates are very different from an instrumental variables perspective. The county base rate is estimated solely based on aggregate loss cost ratios while the “target rate” incorporates many of the characteristics one typically thinks of as influencing crop insurance premium rates (past yields, irrigation status, unit structure, </w:t>
      </w:r>
      <w:proofErr w:type="spellStart"/>
      <w:r w:rsidRPr="002325D3">
        <w:rPr>
          <w:rFonts w:ascii="Times New Roman" w:hAnsi="Times New Roman" w:cs="Times New Roman"/>
          <w:sz w:val="20"/>
          <w:szCs w:val="20"/>
        </w:rPr>
        <w:t>etc</w:t>
      </w:r>
      <w:proofErr w:type="spellEnd"/>
      <w:r w:rsidRPr="002325D3">
        <w:rPr>
          <w:rFonts w:ascii="Times New Roman" w:hAnsi="Times New Roman" w:cs="Times New Roman"/>
          <w:sz w:val="20"/>
          <w:szCs w:val="20"/>
        </w:rPr>
        <w:t xml:space="preserve">). </w:t>
      </w:r>
    </w:p>
  </w:footnote>
  <w:footnote w:id="4">
    <w:p w14:paraId="516569E9" w14:textId="77777777" w:rsidR="00514D4C" w:rsidRPr="00573C38" w:rsidRDefault="00514D4C" w:rsidP="00514D4C">
      <w:pPr>
        <w:pStyle w:val="FootnoteText"/>
        <w:rPr>
          <w:rFonts w:ascii="Times New Roman" w:hAnsi="Times New Roman" w:cs="Times New Roman"/>
          <w:sz w:val="20"/>
          <w:szCs w:val="20"/>
        </w:rPr>
      </w:pPr>
      <w:r w:rsidRPr="00573C38">
        <w:rPr>
          <w:rStyle w:val="FootnoteReference"/>
          <w:rFonts w:ascii="Times New Roman" w:hAnsi="Times New Roman" w:cs="Times New Roman"/>
          <w:sz w:val="20"/>
          <w:szCs w:val="20"/>
        </w:rPr>
        <w:footnoteRef/>
      </w:r>
      <w:r w:rsidRPr="00573C38">
        <w:rPr>
          <w:rFonts w:ascii="Times New Roman" w:hAnsi="Times New Roman" w:cs="Times New Roman"/>
          <w:sz w:val="20"/>
          <w:szCs w:val="20"/>
        </w:rPr>
        <w:t xml:space="preserve"> For example, from 2011 to 2021, 77.6% of crop insurance policies sold had a deductible of at least 25%.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4C"/>
    <w:rsid w:val="00203165"/>
    <w:rsid w:val="00223E87"/>
    <w:rsid w:val="00230A02"/>
    <w:rsid w:val="0030025C"/>
    <w:rsid w:val="003027E6"/>
    <w:rsid w:val="00454AE2"/>
    <w:rsid w:val="004941CB"/>
    <w:rsid w:val="00514D4C"/>
    <w:rsid w:val="00697DC4"/>
    <w:rsid w:val="00716B40"/>
    <w:rsid w:val="007D420A"/>
    <w:rsid w:val="00852C4F"/>
    <w:rsid w:val="00855D90"/>
    <w:rsid w:val="009B310F"/>
    <w:rsid w:val="00A62396"/>
    <w:rsid w:val="00BA3283"/>
    <w:rsid w:val="00BB7145"/>
    <w:rsid w:val="00D2437D"/>
    <w:rsid w:val="00DF3F36"/>
    <w:rsid w:val="00DF48B0"/>
    <w:rsid w:val="00E9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2152"/>
  <w15:chartTrackingRefBased/>
  <w15:docId w15:val="{1DBFA700-1F69-4C65-87FB-5EDC1FF8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D4C"/>
    <w:pPr>
      <w:spacing w:after="200" w:line="240" w:lineRule="auto"/>
    </w:pPr>
    <w:rPr>
      <w:kern w:val="0"/>
      <w:sz w:val="24"/>
      <w:szCs w:val="24"/>
      <w14:ligatures w14:val="none"/>
    </w:rPr>
  </w:style>
  <w:style w:type="paragraph" w:styleId="Heading1">
    <w:name w:val="heading 1"/>
    <w:basedOn w:val="Heading2"/>
    <w:next w:val="Normal"/>
    <w:link w:val="Heading1Char"/>
    <w:uiPriority w:val="9"/>
    <w:qFormat/>
    <w:rsid w:val="0030025C"/>
    <w:pPr>
      <w:jc w:val="both"/>
      <w:outlineLvl w:val="0"/>
    </w:pPr>
    <w:rPr>
      <w:rFonts w:ascii="Times New Roman" w:hAnsi="Times New Roman" w:cs="Times New Roman"/>
      <w:color w:val="auto"/>
      <w:sz w:val="24"/>
      <w:szCs w:val="24"/>
    </w:rPr>
  </w:style>
  <w:style w:type="paragraph" w:styleId="Heading2">
    <w:name w:val="heading 2"/>
    <w:basedOn w:val="Normal"/>
    <w:next w:val="BodyText"/>
    <w:link w:val="Heading2Char"/>
    <w:uiPriority w:val="9"/>
    <w:unhideWhenUsed/>
    <w:qFormat/>
    <w:rsid w:val="00514D4C"/>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D4C"/>
    <w:rPr>
      <w:rFonts w:asciiTheme="majorHAnsi" w:eastAsiaTheme="majorEastAsia" w:hAnsiTheme="majorHAnsi" w:cstheme="majorBidi"/>
      <w:b/>
      <w:bCs/>
      <w:color w:val="4472C4" w:themeColor="accent1"/>
      <w:kern w:val="0"/>
      <w:sz w:val="28"/>
      <w:szCs w:val="28"/>
      <w14:ligatures w14:val="none"/>
    </w:rPr>
  </w:style>
  <w:style w:type="paragraph" w:styleId="FootnoteText">
    <w:name w:val="footnote text"/>
    <w:basedOn w:val="Normal"/>
    <w:link w:val="FootnoteTextChar"/>
    <w:uiPriority w:val="9"/>
    <w:unhideWhenUsed/>
    <w:qFormat/>
    <w:rsid w:val="00514D4C"/>
  </w:style>
  <w:style w:type="character" w:customStyle="1" w:styleId="FootnoteTextChar">
    <w:name w:val="Footnote Text Char"/>
    <w:basedOn w:val="DefaultParagraphFont"/>
    <w:link w:val="FootnoteText"/>
    <w:uiPriority w:val="9"/>
    <w:rsid w:val="00514D4C"/>
    <w:rPr>
      <w:kern w:val="0"/>
      <w:sz w:val="24"/>
      <w:szCs w:val="24"/>
      <w14:ligatures w14:val="none"/>
    </w:rPr>
  </w:style>
  <w:style w:type="character" w:styleId="FootnoteReference">
    <w:name w:val="footnote reference"/>
    <w:basedOn w:val="DefaultParagraphFont"/>
    <w:rsid w:val="00514D4C"/>
    <w:rPr>
      <w:vertAlign w:val="superscript"/>
    </w:rPr>
  </w:style>
  <w:style w:type="paragraph" w:styleId="BodyText">
    <w:name w:val="Body Text"/>
    <w:basedOn w:val="Normal"/>
    <w:link w:val="BodyTextChar"/>
    <w:uiPriority w:val="99"/>
    <w:semiHidden/>
    <w:unhideWhenUsed/>
    <w:rsid w:val="00514D4C"/>
    <w:pPr>
      <w:spacing w:after="120"/>
    </w:pPr>
  </w:style>
  <w:style w:type="character" w:customStyle="1" w:styleId="BodyTextChar">
    <w:name w:val="Body Text Char"/>
    <w:basedOn w:val="DefaultParagraphFont"/>
    <w:link w:val="BodyText"/>
    <w:uiPriority w:val="99"/>
    <w:semiHidden/>
    <w:rsid w:val="00514D4C"/>
    <w:rPr>
      <w:kern w:val="0"/>
      <w:sz w:val="24"/>
      <w:szCs w:val="24"/>
      <w14:ligatures w14:val="none"/>
    </w:rPr>
  </w:style>
  <w:style w:type="paragraph" w:customStyle="1" w:styleId="FirstParagraph">
    <w:name w:val="First Paragraph"/>
    <w:basedOn w:val="BodyText"/>
    <w:next w:val="BodyText"/>
    <w:qFormat/>
    <w:rsid w:val="00514D4C"/>
    <w:pPr>
      <w:spacing w:before="180" w:after="180"/>
    </w:pPr>
  </w:style>
  <w:style w:type="character" w:customStyle="1" w:styleId="cf01">
    <w:name w:val="cf01"/>
    <w:basedOn w:val="DefaultParagraphFont"/>
    <w:rsid w:val="00514D4C"/>
    <w:rPr>
      <w:rFonts w:ascii="Segoe UI" w:hAnsi="Segoe UI" w:cs="Segoe UI" w:hint="default"/>
      <w:sz w:val="18"/>
      <w:szCs w:val="18"/>
    </w:rPr>
  </w:style>
  <w:style w:type="character" w:customStyle="1" w:styleId="Heading1Char">
    <w:name w:val="Heading 1 Char"/>
    <w:basedOn w:val="DefaultParagraphFont"/>
    <w:link w:val="Heading1"/>
    <w:uiPriority w:val="9"/>
    <w:rsid w:val="0030025C"/>
    <w:rPr>
      <w:rFonts w:ascii="Times New Roman" w:eastAsiaTheme="majorEastAsia" w:hAnsi="Times New Roman" w:cs="Times New Roman"/>
      <w:b/>
      <w:bCs/>
      <w:kern w:val="0"/>
      <w:sz w:val="24"/>
      <w:szCs w:val="24"/>
      <w14:ligatures w14:val="none"/>
    </w:rPr>
  </w:style>
  <w:style w:type="paragraph" w:styleId="Bibliography">
    <w:name w:val="Bibliography"/>
    <w:basedOn w:val="Normal"/>
    <w:next w:val="Normal"/>
    <w:uiPriority w:val="37"/>
    <w:unhideWhenUsed/>
    <w:rsid w:val="00223E87"/>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952081C31164095359DF1846FC999" ma:contentTypeVersion="10" ma:contentTypeDescription="Create a new document." ma:contentTypeScope="" ma:versionID="9fbb878c91d333a29754522e7b144465">
  <xsd:schema xmlns:xsd="http://www.w3.org/2001/XMLSchema" xmlns:xs="http://www.w3.org/2001/XMLSchema" xmlns:p="http://schemas.microsoft.com/office/2006/metadata/properties" xmlns:ns2="3407a332-0af3-4a08-b736-5348a875e76a" targetNamespace="http://schemas.microsoft.com/office/2006/metadata/properties" ma:root="true" ma:fieldsID="afadf2d5867cb8352e208cdf940fdebe" ns2:_="">
    <xsd:import namespace="3407a332-0af3-4a08-b736-5348a875e76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7a332-0af3-4a08-b736-5348a875e7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46D29A-880D-4AD3-9ED2-FB1597AA31CD}"/>
</file>

<file path=customXml/itemProps2.xml><?xml version="1.0" encoding="utf-8"?>
<ds:datastoreItem xmlns:ds="http://schemas.openxmlformats.org/officeDocument/2006/customXml" ds:itemID="{4C5F2891-6DB4-480C-B5CB-55A624A37C60}"/>
</file>

<file path=docProps/app.xml><?xml version="1.0" encoding="utf-8"?>
<Properties xmlns="http://schemas.openxmlformats.org/officeDocument/2006/extended-properties" xmlns:vt="http://schemas.openxmlformats.org/officeDocument/2006/docPropsVTypes">
  <Template>Normal</Template>
  <TotalTime>20</TotalTime>
  <Pages>4</Pages>
  <Words>2783</Words>
  <Characters>15865</Characters>
  <Application>Microsoft Office Word</Application>
  <DocSecurity>0</DocSecurity>
  <Lines>132</Lines>
  <Paragraphs>37</Paragraphs>
  <ScaleCrop>false</ScaleCrop>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Dylan - REE-ERS</dc:creator>
  <cp:keywords/>
  <dc:description/>
  <cp:lastModifiedBy>Tsiboe, Francis - REE-ERS</cp:lastModifiedBy>
  <cp:revision>20</cp:revision>
  <dcterms:created xsi:type="dcterms:W3CDTF">2024-02-07T16:38:00Z</dcterms:created>
  <dcterms:modified xsi:type="dcterms:W3CDTF">2024-10-22T13:06:00Z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id="cEVhWlxo"/&gt;&lt;style id="http://www.zotero.org/styles/american-journal-of-agricultural-economics" hasBibliography="1" bibliographyStyleHasBeenSet="1"/&gt;&lt;prefs&gt;&lt;pref name="fieldType" value="Field"/&gt;&lt;/</vt:lpwstr>
  </property>
  <property fmtid="{D5CDD505-2E9C-101B-9397-08002B2CF9AE}" pid="3" name="ZOTERO_PREF_2">
    <vt:lpwstr>prefs&gt;&lt;/data&gt;</vt:lpwstr>
  </property>
</Properties>
</file>