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1ED21" w14:textId="76177217" w:rsidR="00401DBF" w:rsidRDefault="00635808" w:rsidP="00635808">
      <w:pPr>
        <w:spacing w:line="240" w:lineRule="auto"/>
        <w:jc w:val="center"/>
        <w:rPr>
          <w:b/>
          <w:bCs/>
        </w:rPr>
      </w:pPr>
      <w:r w:rsidRPr="004A7924">
        <w:rPr>
          <w:b/>
          <w:bCs/>
        </w:rPr>
        <w:t xml:space="preserve">Geographical </w:t>
      </w:r>
      <w:r w:rsidR="00CC2410">
        <w:rPr>
          <w:b/>
          <w:bCs/>
        </w:rPr>
        <w:t xml:space="preserve">Shifts </w:t>
      </w:r>
      <w:r w:rsidR="005C6AAE">
        <w:rPr>
          <w:b/>
          <w:bCs/>
        </w:rPr>
        <w:t>in</w:t>
      </w:r>
      <w:r>
        <w:rPr>
          <w:b/>
          <w:bCs/>
        </w:rPr>
        <w:t xml:space="preserve"> </w:t>
      </w:r>
      <w:r w:rsidRPr="00E408A0">
        <w:rPr>
          <w:b/>
          <w:bCs/>
        </w:rPr>
        <w:t>US</w:t>
      </w:r>
      <w:r w:rsidRPr="004A7924">
        <w:rPr>
          <w:b/>
          <w:bCs/>
        </w:rPr>
        <w:t xml:space="preserve"> Cattle Production</w:t>
      </w:r>
      <w:r w:rsidR="004A7924" w:rsidRPr="004A7924">
        <w:rPr>
          <w:b/>
          <w:bCs/>
        </w:rPr>
        <w:t xml:space="preserve"> </w:t>
      </w:r>
      <w:r w:rsidR="00F96871" w:rsidRPr="00F96871">
        <w:rPr>
          <w:b/>
          <w:bCs/>
        </w:rPr>
        <w:t xml:space="preserve">in Response to Warming-Induced Impacts on Alfalfa </w:t>
      </w:r>
      <w:r w:rsidR="00625DD3">
        <w:rPr>
          <w:b/>
          <w:bCs/>
        </w:rPr>
        <w:t>H</w:t>
      </w:r>
      <w:r w:rsidR="00625DD3" w:rsidRPr="00625DD3">
        <w:rPr>
          <w:b/>
          <w:bCs/>
        </w:rPr>
        <w:t xml:space="preserve">ay </w:t>
      </w:r>
      <w:r w:rsidR="00F96871" w:rsidRPr="00F96871">
        <w:rPr>
          <w:b/>
          <w:bCs/>
        </w:rPr>
        <w:t>Availability</w:t>
      </w:r>
    </w:p>
    <w:p w14:paraId="5542BF51" w14:textId="77777777" w:rsidR="00EC31E0" w:rsidRPr="00560097" w:rsidRDefault="00EC31E0" w:rsidP="00EC31E0">
      <w:pPr>
        <w:spacing w:line="240" w:lineRule="auto"/>
      </w:pPr>
      <w:r w:rsidRPr="00560097">
        <w:t>Francis Tsiboe*, Research Agricultural Economist, United States Department of Agriculture, Economic Research Service, 805 Pennsylvania Avenue, Kansas City, MO 64105, USA</w:t>
      </w:r>
    </w:p>
    <w:p w14:paraId="7CB2777D" w14:textId="43436CD9" w:rsidR="00EC31E0" w:rsidRDefault="005F363A" w:rsidP="00EC31E0">
      <w:pPr>
        <w:spacing w:line="240" w:lineRule="auto"/>
      </w:pPr>
      <w:r w:rsidRPr="005F363A">
        <w:t>Hannah Shear</w:t>
      </w:r>
      <w:r w:rsidR="00EC31E0" w:rsidRPr="00560097">
        <w:t xml:space="preserve">, </w:t>
      </w:r>
      <w:r w:rsidRPr="005F363A">
        <w:t>Assistant Professor</w:t>
      </w:r>
      <w:r w:rsidR="00EC31E0" w:rsidRPr="00560097">
        <w:t xml:space="preserve">, </w:t>
      </w:r>
      <w:r w:rsidRPr="005F363A">
        <w:t xml:space="preserve">Oklahoma State University, Agricultural Economics, 420 Agriculture Hall, Stillwater, Oklahoma, 74078, </w:t>
      </w:r>
      <w:r w:rsidRPr="00560097">
        <w:t>USA</w:t>
      </w:r>
    </w:p>
    <w:p w14:paraId="5337A3FC" w14:textId="1F757FE4" w:rsidR="005F363A" w:rsidRPr="00560097" w:rsidRDefault="00AD36B8" w:rsidP="005F363A">
      <w:pPr>
        <w:spacing w:line="240" w:lineRule="auto"/>
      </w:pPr>
      <w:r w:rsidRPr="00AD36B8">
        <w:t>Jesse Tack</w:t>
      </w:r>
      <w:r w:rsidR="005F363A" w:rsidRPr="00560097">
        <w:t xml:space="preserve">, Professor, Department of Agricultural Economics, Kansas State University, </w:t>
      </w:r>
      <w:r w:rsidR="00C54D99" w:rsidRPr="00C54D99">
        <w:t xml:space="preserve">218 </w:t>
      </w:r>
      <w:r w:rsidR="005F363A" w:rsidRPr="00560097">
        <w:t>Waters Hall,1603 Old Claflin Place, Manhattan, KS 66506, USA</w:t>
      </w:r>
    </w:p>
    <w:p w14:paraId="659EFA48" w14:textId="77777777" w:rsidR="00EC31E0" w:rsidRPr="00560097" w:rsidRDefault="00EC31E0" w:rsidP="00EC31E0">
      <w:pPr>
        <w:spacing w:line="240" w:lineRule="auto"/>
      </w:pPr>
      <w:r w:rsidRPr="00560097">
        <w:t>Jisang Yu, Associate Professor, Department of Agricultural Economics, Kansas State University, 318 Waters Hall,1603 Old Claflin Place, Manhattan, KS 66506, USA</w:t>
      </w:r>
    </w:p>
    <w:p w14:paraId="1EF4905F" w14:textId="4A081945" w:rsidR="00EC31E0" w:rsidRPr="00560097" w:rsidRDefault="00EC31E0" w:rsidP="00EC31E0">
      <w:pPr>
        <w:spacing w:line="240" w:lineRule="auto"/>
      </w:pPr>
      <w:r w:rsidRPr="00560097">
        <w:t xml:space="preserve">*Correspondence to Francis Tsiboe, United States Department of Agriculture, Economic Research Service, 805 Pennsylvania Avenue, Kansas City, MO 64105, USA (Email: </w:t>
      </w:r>
      <w:hyperlink r:id="rId11" w:history="1">
        <w:r w:rsidR="00A979AC" w:rsidRPr="008612A3">
          <w:rPr>
            <w:rStyle w:val="Hyperlink"/>
          </w:rPr>
          <w:t>francis.tsiboe@usda.gov</w:t>
        </w:r>
      </w:hyperlink>
      <w:r w:rsidR="00A979AC">
        <w:t xml:space="preserve"> </w:t>
      </w:r>
      <w:r w:rsidRPr="00560097">
        <w:t xml:space="preserve">). </w:t>
      </w:r>
    </w:p>
    <w:p w14:paraId="3B9BF26B" w14:textId="77777777" w:rsidR="006718BC" w:rsidRPr="00C47481" w:rsidRDefault="006718BC" w:rsidP="00E408A0">
      <w:pPr>
        <w:pStyle w:val="Heading1"/>
      </w:pPr>
      <w:r w:rsidRPr="00C47481">
        <w:t>Acknowledgment</w:t>
      </w:r>
    </w:p>
    <w:p w14:paraId="68AFC6DD" w14:textId="01DBBDAC" w:rsidR="006718BC" w:rsidRPr="00EA6BBA" w:rsidRDefault="006718BC" w:rsidP="00E408A0">
      <w:pPr>
        <w:spacing w:line="240" w:lineRule="auto"/>
      </w:pPr>
      <w:r w:rsidRPr="00EA6BBA">
        <w:t>The author</w:t>
      </w:r>
      <w:r w:rsidR="0070734F" w:rsidRPr="00EA6BBA">
        <w:t>s</w:t>
      </w:r>
      <w:r w:rsidRPr="00EA6BBA">
        <w:t xml:space="preserve"> gratefully </w:t>
      </w:r>
      <w:r w:rsidR="00980E00" w:rsidRPr="00EA6BBA">
        <w:t>acknowledge</w:t>
      </w:r>
      <w:r w:rsidRPr="00EA6BBA">
        <w:t xml:space="preserve"> </w:t>
      </w:r>
      <w:r w:rsidR="00C32B74" w:rsidRPr="00EA6BBA">
        <w:t xml:space="preserve">the </w:t>
      </w:r>
      <w:r w:rsidRPr="00EA6BBA">
        <w:t xml:space="preserve">National Agricultural Statistics Service (NASS), PRISM Climate Group, Professor Wolfram Schlenker, and the Natural Resources Conservation Service (NRCS) for </w:t>
      </w:r>
      <w:r w:rsidR="00180B27" w:rsidRPr="00EA6BBA">
        <w:t xml:space="preserve">the </w:t>
      </w:r>
      <w:r w:rsidRPr="00EA6BBA">
        <w:t xml:space="preserve">dataset used for the study. The </w:t>
      </w:r>
      <w:r w:rsidR="00846C2B" w:rsidRPr="00EA6BBA">
        <w:t>authors are</w:t>
      </w:r>
      <w:r w:rsidRPr="00EA6BBA">
        <w:t xml:space="preserve"> also grateful for data processing on Beocat Research Cluster at Kansas State University. All errors are the responsibility of the </w:t>
      </w:r>
      <w:r w:rsidR="002B7423" w:rsidRPr="00EA6BBA">
        <w:t>authors</w:t>
      </w:r>
      <w:r w:rsidRPr="00EA6BBA">
        <w:t>.</w:t>
      </w:r>
      <w:r w:rsidR="007472CC" w:rsidRPr="007472CC">
        <w:t xml:space="preserve"> </w:t>
      </w:r>
      <w:r w:rsidR="007472CC" w:rsidRPr="00560097">
        <w:t>The findings and conclusions in this publication are those of the author(s) and should not be construed to represent any official USDA or U.S. Government determination or policy. This research was supported in part by the U.S. Department of Agriculture, Economic Research Service</w:t>
      </w:r>
    </w:p>
    <w:p w14:paraId="56D03CE7" w14:textId="77777777" w:rsidR="006718BC" w:rsidRDefault="006718BC" w:rsidP="00E408A0">
      <w:pPr>
        <w:pStyle w:val="Heading1"/>
      </w:pPr>
      <w:r w:rsidRPr="00C47481">
        <w:t xml:space="preserve">Abstract </w:t>
      </w:r>
    </w:p>
    <w:p w14:paraId="2D1576A5" w14:textId="77777777" w:rsidR="000021F0" w:rsidRPr="000021F0" w:rsidRDefault="000021F0" w:rsidP="000021F0"/>
    <w:p w14:paraId="4FF60A81" w14:textId="30024940" w:rsidR="006718BC" w:rsidRPr="00C47481" w:rsidRDefault="006718BC" w:rsidP="00E408A0">
      <w:pPr>
        <w:spacing w:line="240" w:lineRule="auto"/>
      </w:pPr>
      <w:r w:rsidRPr="00C47481">
        <w:rPr>
          <w:b/>
        </w:rPr>
        <w:t>Keywords;</w:t>
      </w:r>
      <w:r w:rsidRPr="00C47481">
        <w:t xml:space="preserve"> </w:t>
      </w:r>
    </w:p>
    <w:p w14:paraId="4E2BD269" w14:textId="7180D1A7" w:rsidR="00C47481" w:rsidRDefault="00040C29" w:rsidP="00E408A0">
      <w:pPr>
        <w:spacing w:line="240" w:lineRule="auto"/>
        <w:sectPr w:rsidR="00C47481" w:rsidSect="00EA30C9">
          <w:footerReference w:type="default" r:id="rId12"/>
          <w:pgSz w:w="12240" w:h="15840"/>
          <w:pgMar w:top="1440" w:right="1440" w:bottom="1440" w:left="1440" w:header="720" w:footer="720" w:gutter="0"/>
          <w:cols w:space="720"/>
          <w:docGrid w:linePitch="360"/>
        </w:sectPr>
      </w:pPr>
      <w:r>
        <w:rPr>
          <w:b/>
        </w:rPr>
        <w:t>JEL</w:t>
      </w:r>
      <w:r w:rsidRPr="00C47481">
        <w:rPr>
          <w:b/>
        </w:rPr>
        <w:t>;</w:t>
      </w:r>
      <w:r w:rsidRPr="00C47481">
        <w:t xml:space="preserve"> </w:t>
      </w:r>
      <w:r>
        <w:t>Q54, Q24</w:t>
      </w:r>
    </w:p>
    <w:p w14:paraId="61FAA449" w14:textId="25323F71" w:rsidR="00065EE0" w:rsidRPr="00B22C80" w:rsidRDefault="005C6AAE" w:rsidP="00F96871">
      <w:pPr>
        <w:spacing w:line="240" w:lineRule="auto"/>
        <w:jc w:val="center"/>
        <w:rPr>
          <w:b/>
          <w:bCs/>
        </w:rPr>
      </w:pPr>
      <w:r w:rsidRPr="004A7924">
        <w:rPr>
          <w:b/>
          <w:bCs/>
        </w:rPr>
        <w:lastRenderedPageBreak/>
        <w:t xml:space="preserve">Geographical </w:t>
      </w:r>
      <w:r>
        <w:rPr>
          <w:b/>
          <w:bCs/>
        </w:rPr>
        <w:t>Shi</w:t>
      </w:r>
      <w:r w:rsidR="00CC2410">
        <w:rPr>
          <w:b/>
          <w:bCs/>
        </w:rPr>
        <w:t>f</w:t>
      </w:r>
      <w:r>
        <w:rPr>
          <w:b/>
          <w:bCs/>
        </w:rPr>
        <w:t xml:space="preserve">ts in </w:t>
      </w:r>
      <w:r w:rsidRPr="00E408A0">
        <w:rPr>
          <w:b/>
          <w:bCs/>
        </w:rPr>
        <w:t>US</w:t>
      </w:r>
      <w:r w:rsidRPr="004A7924">
        <w:rPr>
          <w:b/>
          <w:bCs/>
        </w:rPr>
        <w:t xml:space="preserve"> Cattle Production </w:t>
      </w:r>
      <w:r w:rsidRPr="00F96871">
        <w:rPr>
          <w:b/>
          <w:bCs/>
        </w:rPr>
        <w:t xml:space="preserve">in Response to Warming-Induced Impacts on Alfalfa </w:t>
      </w:r>
      <w:r>
        <w:rPr>
          <w:b/>
          <w:bCs/>
        </w:rPr>
        <w:t>H</w:t>
      </w:r>
      <w:r w:rsidRPr="00625DD3">
        <w:rPr>
          <w:b/>
          <w:bCs/>
        </w:rPr>
        <w:t xml:space="preserve">ay </w:t>
      </w:r>
      <w:r w:rsidR="00F96871" w:rsidRPr="00F96871">
        <w:rPr>
          <w:b/>
          <w:bCs/>
        </w:rPr>
        <w:t>Availability</w:t>
      </w:r>
    </w:p>
    <w:p w14:paraId="13CCA321" w14:textId="784E96A9" w:rsidR="00A1269F" w:rsidRDefault="00382D81" w:rsidP="00E408A0">
      <w:pPr>
        <w:pStyle w:val="Heading1"/>
      </w:pPr>
      <w:r>
        <w:t xml:space="preserve">1. </w:t>
      </w:r>
      <w:r w:rsidR="00A1269F" w:rsidRPr="00C47481">
        <w:t>Introduction</w:t>
      </w:r>
    </w:p>
    <w:p w14:paraId="6CF9AC45" w14:textId="432EF26A" w:rsidR="00C92E50" w:rsidRPr="00C92E50" w:rsidRDefault="00C92E50" w:rsidP="00E408A0">
      <w:r w:rsidRPr="00E408A0">
        <w:t>The</w:t>
      </w:r>
      <w:r w:rsidRPr="00C92E50">
        <w:t xml:space="preserve"> Intergovernmental Panel on Climate Change (IPCC) has conclusively established that Earth's climate is undergoing significant changes due to the accumulation of greenhouse gases in the atmosphere</w:t>
      </w:r>
      <w:r w:rsidR="00E01798">
        <w:t xml:space="preserve"> </w:t>
      </w:r>
      <w:r w:rsidR="00E01798" w:rsidRPr="00C47481">
        <w:rPr>
          <w:color w:val="4472C4" w:themeColor="accent5"/>
        </w:rPr>
        <w:fldChar w:fldCharType="begin" w:fldLock="1"/>
      </w:r>
      <w:r w:rsidR="00E01798" w:rsidRPr="00C47481">
        <w:rPr>
          <w:color w:val="4472C4" w:themeColor="accent5"/>
        </w:rPr>
        <w:instrText>ADDIN CSL_CITATION {"citationItems":[{"id":"ITEM-1","itemData":{"ISBN":"9780521880107","author":[{"dropping-particle":"","family":"Intergovernmental Panel on Climate Change (IPCC)","given":"","non-dropping-particle":"","parse-names":false,"suffix":""}],"editor":[{"dropping-particle":"","family":"Parry","given":"M.L.","non-dropping-particle":"","parse-names":false,"suffix":""},{"dropping-particle":"","family":"Canziani","given":"O.F.","non-dropping-particle":"","parse-names":false,"suffix":""},{"dropping-particle":"","family":"Palutikof","given":"J.P.","non-dropping-particle":"","parse-names":false,"suffix":""},{"dropping-particle":"van der","family":"Linden","given":"P.J.","non-dropping-particle":"","parse-names":false,"suffix":""},{"dropping-particle":"","family":"Hanson","given":"C.E.","non-dropping-particle":"","parse-names":false,"suffix":""}],"id":"ITEM-1","issued":{"date-parts":[["2007"]]},"number-of-pages":"976","publisher":"Cambridge University Press","publisher-place":"Cambridge","title":"Climate Change 2007: Impacts, Adaptation and Vulnerability. Contribution of Working Group II to the Fourth Assessment Report of the Intergovernmental Panel on Climate Change","type":"book"},"uris":["http://www.mendeley.com/documents/?uuid=4ff456d4-942c-3e6c-9a25-c7fdeeceb111"]},{"id":"ITEM-2","itemData":{"DOI":"10.1017/CBO9781107415324","ISBN":"9781107415324","abstract":"This latest Fifth Assessment Report of the Intergovernmental Panel on Climate Change (IPCC) will again form the standard scientific reference for all those concerned with climate change and its consequences, including students and researchers in environmental science, meteorology, climatology, biology, ecology and atmospheric chemistry. It provides invaluable material for decision makers and stakeholders: international, national, local; and in all branches: government, businesses, and NGOs. This volume provides: An authoritative and unbiased overview of the physical science basis of climate change • A more extensive assessment of changes observed throughout the climate system than ever before • New dedicated chapters on sea-level change, biogeochemical cycles, clouds and aerosols, and regional climate phenomena • A more extensive coverage of model projections, both near-term and long-term climate projections • A detailed assessment of climate change observations, modelling, and attribution for every continent • A new comprehensive atlas of global and regional climate projections for 35 regions of the world.","author":[{"dropping-particle":"","family":"Intergovernmental Panel on Climate Change (IPCC)","given":"","non-dropping-particle":"","parse-names":false,"suffix":""}],"editor":[{"dropping-particle":"","family":"Stocker","given":"Thomas F.","non-dropping-particle":"","parse-names":false,"suffix":""},{"dropping-particle":"","family":"Qin","given":"Dahe","non-dropping-particle":"","parse-names":false,"suffix":""},{"dropping-particle":"","family":"Plattner","given":"Gian Kasper","non-dropping-particle":"","parse-names":false,"suffix":""},{"dropping-particle":"","family":"Tignor","given":"Melinda M.B.","non-dropping-particle":"","parse-names":false,"suffix":""},{"dropping-particle":"","family":"Allen","given":"Simon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M.","non-dropping-particle":"","parse-names":false,"suffix":""}],"id":"ITEM-2","issued":{"date-parts":[["2013"]]},"number-of-pages":"1535","publisher":"Cambridge University Press","publisher-place":"Cambridge","title":"Climate Change 2013 the Physical Science Basis: Working Group I Contribution to the Fifth Assessment Report of the Intergovernmental Panel on Climate Change","type":"book"},"uris":["http://www.mendeley.com/documents/?uuid=174c684e-8014-4982-bc46-6d4f5225e8da"]}],"mendeley":{"formattedCitation":"[14,15]","plainTextFormattedCitation":"[14,15]","previouslyFormattedCitation":"(Intergovernmental Panel on Climate Change (IPCC), 2013, 2007)"},"properties":{"noteIndex":0},"schema":"https://github.com/citation-style-language/schema/raw/master/csl-citation.json"}</w:instrText>
      </w:r>
      <w:r w:rsidR="00E01798" w:rsidRPr="00C47481">
        <w:rPr>
          <w:color w:val="4472C4" w:themeColor="accent5"/>
        </w:rPr>
        <w:fldChar w:fldCharType="separate"/>
      </w:r>
      <w:r w:rsidR="00E01798" w:rsidRPr="00C47481">
        <w:rPr>
          <w:noProof/>
          <w:color w:val="4472C4" w:themeColor="accent5"/>
        </w:rPr>
        <w:t>[14,15]</w:t>
      </w:r>
      <w:r w:rsidR="00E01798" w:rsidRPr="00C47481">
        <w:rPr>
          <w:color w:val="4472C4" w:themeColor="accent5"/>
        </w:rPr>
        <w:fldChar w:fldCharType="end"/>
      </w:r>
      <w:r w:rsidRPr="00C92E50">
        <w:t>. These changes pose a threat to agriculture, evidenced by rising temperatures</w:t>
      </w:r>
      <w:r w:rsidR="006F34DA">
        <w:t xml:space="preserve"> (</w:t>
      </w:r>
      <w:r w:rsidR="006F34DA" w:rsidRPr="002A1937">
        <w:rPr>
          <w:color w:val="FF0000"/>
        </w:rPr>
        <w:t>citations</w:t>
      </w:r>
      <w:r w:rsidR="006F34DA">
        <w:t>)</w:t>
      </w:r>
      <w:r w:rsidRPr="00C92E50">
        <w:t>, shifting precipitation patterns</w:t>
      </w:r>
      <w:r w:rsidR="002A1937">
        <w:t xml:space="preserve"> (</w:t>
      </w:r>
      <w:r w:rsidR="002A1937" w:rsidRPr="002A1937">
        <w:rPr>
          <w:color w:val="FF0000"/>
        </w:rPr>
        <w:t>citations</w:t>
      </w:r>
      <w:r w:rsidR="002A1937">
        <w:t>)</w:t>
      </w:r>
      <w:r w:rsidRPr="00C92E50">
        <w:t>, extreme weather events</w:t>
      </w:r>
      <w:r w:rsidR="002A1937">
        <w:t xml:space="preserve"> (</w:t>
      </w:r>
      <w:r w:rsidR="002A1937" w:rsidRPr="002A1937">
        <w:rPr>
          <w:color w:val="FF0000"/>
        </w:rPr>
        <w:t>citations</w:t>
      </w:r>
      <w:r w:rsidR="002A1937">
        <w:t>)</w:t>
      </w:r>
      <w:r w:rsidRPr="00C92E50">
        <w:t>, and dwindling water supplies</w:t>
      </w:r>
      <w:r w:rsidR="002A1937">
        <w:t xml:space="preserve"> (</w:t>
      </w:r>
      <w:r w:rsidR="002A1937" w:rsidRPr="002A1937">
        <w:rPr>
          <w:color w:val="FF0000"/>
        </w:rPr>
        <w:t>citations</w:t>
      </w:r>
      <w:r w:rsidR="002A1937">
        <w:t>)</w:t>
      </w:r>
      <w:r w:rsidRPr="00C92E50">
        <w:t>. Empirical studies have consistently shown that these climatic shifts result in a marked decrease in the yields of feed grains</w:t>
      </w:r>
      <w:r w:rsidR="00E01798">
        <w:t xml:space="preserve"> </w:t>
      </w:r>
      <w:r w:rsidR="00E01798" w:rsidRPr="00C47481">
        <w:rPr>
          <w:color w:val="4472C4" w:themeColor="accent5"/>
        </w:rPr>
        <w:fldChar w:fldCharType="begin" w:fldLock="1"/>
      </w:r>
      <w:r w:rsidR="00E01798" w:rsidRPr="00C47481">
        <w:rPr>
          <w:color w:val="4472C4" w:themeColor="accent5"/>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id":"ITEM-2","itemData":{"DOI":"10.1073/pnas.1415181112","ISSN":"0027-8424","author":[{"dropping-particle":"","family":"Tack","given":"Jesse","non-dropping-particle":"","parse-names":false,"suffix":""},{"dropping-particle":"","family":"Barkley","given":"Andrew","non-dropping-particle":"","parse-names":false,"suffix":""},{"dropping-particle":"","family":"Nalley","given":"Lawton Lanier","non-dropping-particle":"","parse-names":false,"suffix":""}],"container-title":"Proceedings of the National Academy of Sciences","id":"ITEM-2","issue":"22","issued":{"date-parts":[["2015","6","2"]]},"page":"6931-6936","title":"Effect of warming temperatures on US wheat yields","type":"article-journal","volume":"112"},"uris":["http://www.mendeley.com/documents/?uuid=b8a17bac-f39a-4125-b718-a14c3a7345ba"]},{"id":"ITEM-3","itemData":{"DOI":"10.1016/j.jeem.2016.12.001","ISSN":"00950696","author":[{"dropping-particle":"","family":"Zhang","given":"Peng","non-dropping-particle":"","parse-names":false,"suffix":""},{"dropping-particle":"","family":"Zhang","given":"Junjie","non-dropping-particle":"","parse-names":false,"suffix":""},{"dropping-particle":"","family":"Chen","given":"Minpeng","non-dropping-particle":"","parse-names":false,"suffix":""}],"container-title":"Journal of Environmental Economics and Management","id":"ITEM-3","issued":{"date-parts":[["2017","5"]]},"page":"8-31","title":"Economic impacts of climate change on agriculture: The importance of additional climatic variables other than temperature and precipitation","type":"article-journal","volume":"83"},"uris":["http://www.mendeley.com/documents/?uuid=1575b9ce-d124-47d1-9f59-97c5b262c104"]},{"id":"ITEM-4","itemData":{"DOI":"10.1038/s41467-020-18317-8","ISSN":"2041-1723","author":[{"dropping-particle":"","family":"Shew","given":"Aaron M.","non-dropping-particle":"","parse-names":false,"suffix":""},{"dropping-particle":"","family":"Tack","given":"Jesse B.","non-dropping-particle":"","parse-names":false,"suffix":""},{"dropping-particle":"","family":"Nalley","given":"Lawton L.","non-dropping-particle":"","parse-names":false,"suffix":""},{"dropping-particle":"","family":"Chaminuka","given":"Petronella","non-dropping-particle":"","parse-names":false,"suffix":""}],"container-title":"Nature Communications","id":"ITEM-4","issue":"1","issued":{"date-parts":[["2020","12","2"]]},"page":"4408","title":"Yield reduction under climate warming varies among wheat cultivars in South Africa","type":"article-journal","volume":"11"},"uris":["http://www.mendeley.com/documents/?uuid=59a81fc6-3520-4289-a58b-55dd0f410397"]},{"id":"ITEM-5","itemData":{"DOI":"10.1016/j.jeem.2020.102386","ISSN":"00950696","author":[{"dropping-particle":"","family":"Malikov","given":"Emir","non-dropping-particle":"","parse-names":false,"suffix":""},{"dropping-particle":"","family":"Miao","given":"Ruiqing","non-dropping-particle":"","parse-names":false,"suffix":""},{"dropping-particle":"","family":"Zhang","given":"Jingfang","non-dropping-particle":"","parse-names":false,"suffix":""}],"container-title":"Journal of Environmental Economics and Management","id":"ITEM-5","issued":{"date-parts":[["2020","11"]]},"page":"102386","title":"Distributional and temporal heterogeneity in the climate change effects on U.S. agriculture","type":"article-journal","volume":"104"},"uris":["http://www.mendeley.com/documents/?uuid=08152c63-e413-42ff-9d84-99f693554e55"]}],"mendeley":{"formattedCitation":"[1,16–19]","plainTextFormattedCitation":"[1,16–19]","previouslyFormattedCitation":"(Malikov et al., 2020; Schlenker and Roberts, 2009; Shew et al., 2020; Tack et al., 2015; Zhang et al., 2017)"},"properties":{"noteIndex":0},"schema":"https://github.com/citation-style-language/schema/raw/master/csl-citation.json"}</w:instrText>
      </w:r>
      <w:r w:rsidR="00E01798" w:rsidRPr="00C47481">
        <w:rPr>
          <w:color w:val="4472C4" w:themeColor="accent5"/>
        </w:rPr>
        <w:fldChar w:fldCharType="separate"/>
      </w:r>
      <w:r w:rsidR="00E01798" w:rsidRPr="00C47481">
        <w:rPr>
          <w:noProof/>
          <w:color w:val="4472C4" w:themeColor="accent5"/>
        </w:rPr>
        <w:t>[1,16–19]</w:t>
      </w:r>
      <w:r w:rsidR="00E01798" w:rsidRPr="00C47481">
        <w:rPr>
          <w:color w:val="4472C4" w:themeColor="accent5"/>
        </w:rPr>
        <w:fldChar w:fldCharType="end"/>
      </w:r>
      <w:r w:rsidRPr="00C92E50">
        <w:t>. There has been less research on how these changes might also impact pasture and feed supplies, as well as the quality of forage available to grazing livestock, though the existing studies suggest a negative effect</w:t>
      </w:r>
      <w:r w:rsidR="006E2544">
        <w:t xml:space="preserve"> </w:t>
      </w:r>
      <w:r w:rsidR="006E2544" w:rsidRPr="00C47481">
        <w:rPr>
          <w:rFonts w:eastAsia="Times New Roman"/>
          <w:color w:val="4472C4" w:themeColor="accent5"/>
        </w:rPr>
        <w:fldChar w:fldCharType="begin" w:fldLock="1"/>
      </w:r>
      <w:r w:rsidR="006E2544" w:rsidRPr="00C47481">
        <w:rPr>
          <w:rFonts w:eastAsia="Times New Roman"/>
          <w:color w:val="4472C4" w:themeColor="accent5"/>
        </w:rPr>
        <w:instrText>ADDIN CSL_CITATION {"citationItems":[{"id":"ITEM-1","itemData":{"DOI":"10.1017/S1751731112002352","ISSN":"17517311","PMID":"23253935","abstract":"It is well documented that global warming is unequivocal. Dairy production systems are considered as important sources of greenhouse gas emissions; however, little is known about the sensitivity and vulnerability of these production systems themselves to climate warming. This review brings different aspects of dairy cow production in Central Europe into focus, with a holistic approach to emphasize potential future consequences and challenges arising from climate change. With the current understanding of the effects of climate change, it is expected that yield of forage per hectare will be influenced positively, whereas quality will mainly depend on water availability and soil characteristics. Thus, the botanical composition of future grassland should include species that are able to withstand the changing conditions (e.g. lucerne and bird's foot trefoil). Changes in nutrient concentration of forage plants, elevated heat loads and altered feeding patterns of animals may influence rumen physiology. Several promising nutritional strategies are available to lower potential negative impacts of climate change on dairy cow nutrition and performance. Adjustment of feeding and drinking regimes, diet composition and additive supplementation can contribute to the maintenance of adequate dairy cow nutrition and performance. Provision of adequate shade and cooling will reduce the direct effects of heat stress. As estimated genetic parameters are promising, heat stress tolerance as a functional trait may be included into breeding programmes. Indirect effects of global warming on the health and welfare of animals seem to be more complicated and thus are less predictable. As the epidemiology of certain gastrointestinal nematodes and liver fluke is favourably influenced by increased temperature and humidity, relations between climate change and disease dynamics should be followed closely. Under current conditions, climate change associated economic impacts are estimated to be neutral if some form of adaptation is integrated. Therefore, it is essential to establish and adopt mitigation strategies covering available tools from management, nutrition, health and plant and animal breeding to cope with the future consequences of climate change on dairy farming. Copyright © The Animal Consortium 2012.","author":[{"dropping-particle":"","family":"Gauly","given":"M.","non-dropping-particle":"","parse-names":false,"suffix":""},{"dropping-particle":"","family":"Bollwein","given":"H.","non-dropping-particle":"","parse-names":false,"suffix":""},{"dropping-particle":"","family":"Breves","given":"G.","non-dropping-particle":"","parse-names":false,"suffix":""},{"dropping-particle":"","family":"Brügemann","given":"K.","non-dropping-particle":"","parse-names":false,"suffix":""},{"dropping-particle":"","family":"Dänicke","given":"S.","non-dropping-particle":"","parse-names":false,"suffix":""},{"dropping-particle":"","family":"Daş","given":"G.","non-dropping-particle":"","parse-names":false,"suffix":""},{"dropping-particle":"","family":"Demeler","given":"J.","non-dropping-particle":"","parse-names":false,"suffix":""},{"dropping-particle":"","family":"Hansen","given":"H.","non-dropping-particle":"","parse-names":false,"suffix":""},{"dropping-particle":"","family":"Isselstein","given":"J.","non-dropping-particle":"","parse-names":false,"suffix":""},{"dropping-particle":"","family":"König","given":"S.","non-dropping-particle":"","parse-names":false,"suffix":""},{"dropping-particle":"","family":"Lohölter","given":"M.","non-dropping-particle":"","parse-names":false,"suffix":""},{"dropping-particle":"","family":"Martinsohn","given":"M.","non-dropping-particle":"","parse-names":false,"suffix":""},{"dropping-particle":"","family":"Meyer","given":"U.","non-dropping-particle":"","parse-names":false,"suffix":""},{"dropping-particle":"","family":"Potthoff","given":"M.","non-dropping-particle":"","parse-names":false,"suffix":""},{"dropping-particle":"","family":"Sanker","given":"C.","non-dropping-particle":"","parse-names":false,"suffix":""},{"dropping-particle":"","family":"Schröder","given":"B.","non-dropping-particle":"","parse-names":false,"suffix":""},{"dropping-particle":"","family":"Wrage","given":"N.","non-dropping-particle":"","parse-names":false,"suffix":""},{"dropping-particle":"","family":"Meibaum","given":"B.","non-dropping-particle":"","parse-names":false,"suffix":""},{"dropping-particle":"","family":"Samson-Himmelstjerna","given":"G.","non-dropping-particle":"von","parse-names":false,"suffix":""},{"dropping-particle":"","family":"Stinshoff","given":"H.","non-dropping-particle":"","parse-names":false,"suffix":""},{"dropping-particle":"","family":"Wrenzycki","given":"C.","non-dropping-particle":"","parse-names":false,"suffix":""}],"container-title":"Animal","id":"ITEM-1","issue":"5","issued":{"date-parts":[["2013"]]},"page":"843-859","title":"Future consequences and challenges for dairy cow production systems arising from climate change in Central Europe – a review","type":"article-journal","volume":"7"},"uris":["http://www.mendeley.com/documents/?uuid=84fa7400-1d5b-47eb-8309-b832c849f2da"]}],"mendeley":{"formattedCitation":"[3]","plainTextFormattedCitation":"[3]","previouslyFormattedCitation":"(Gauly et al., 2013)"},"properties":{"noteIndex":0},"schema":"https://github.com/citation-style-language/schema/raw/master/csl-citation.json"}</w:instrText>
      </w:r>
      <w:r w:rsidR="006E2544" w:rsidRPr="00C47481">
        <w:rPr>
          <w:rFonts w:eastAsia="Times New Roman"/>
          <w:color w:val="4472C4" w:themeColor="accent5"/>
        </w:rPr>
        <w:fldChar w:fldCharType="separate"/>
      </w:r>
      <w:r w:rsidR="006E2544" w:rsidRPr="00C47481">
        <w:rPr>
          <w:rFonts w:eastAsia="Times New Roman"/>
          <w:noProof/>
          <w:color w:val="4472C4" w:themeColor="accent5"/>
        </w:rPr>
        <w:t>[3]</w:t>
      </w:r>
      <w:r w:rsidR="006E2544" w:rsidRPr="00C47481">
        <w:rPr>
          <w:rFonts w:eastAsia="Times New Roman"/>
          <w:color w:val="4472C4" w:themeColor="accent5"/>
        </w:rPr>
        <w:fldChar w:fldCharType="end"/>
      </w:r>
      <w:r w:rsidRPr="00C92E50">
        <w:t>.</w:t>
      </w:r>
    </w:p>
    <w:p w14:paraId="72CBFC78" w14:textId="53E38F6B" w:rsidR="00C92E50" w:rsidRDefault="00C92E50" w:rsidP="00E408A0">
      <w:r w:rsidRPr="00C92E50">
        <w:t>The occurrence of longer and more severe droughts, driven by higher summer temperatures and reduced rainfall in certain regions, could compel ranchers to seek alternative feed sources</w:t>
      </w:r>
      <w:r w:rsidR="00C7658F">
        <w:t xml:space="preserve"> </w:t>
      </w:r>
      <w:r w:rsidR="00C7658F" w:rsidRPr="00C47481">
        <w:rPr>
          <w:rFonts w:eastAsia="Times New Roman"/>
          <w:color w:val="4472C4" w:themeColor="accent5"/>
        </w:rPr>
        <w:fldChar w:fldCharType="begin" w:fldLock="1"/>
      </w:r>
      <w:r w:rsidR="00C7658F" w:rsidRPr="00C47481">
        <w:rPr>
          <w:rFonts w:eastAsia="Times New Roman"/>
          <w:color w:val="4472C4" w:themeColor="accent5"/>
        </w:rPr>
        <w:instrText>ADDIN CSL_CITATION {"citationItems":[{"id":"ITEM-1","itemData":{"URL":"https://www.uaex.edu/environment-nature/disaster/drought-effects/Ark_Drought_Report_August2012.pdf","author":[{"dropping-particle":"","family":"Kemper","given":"Nathan","non-dropping-particle":"","parse-names":false,"suffix":""},{"dropping-particle":"","family":"Flanders","given":"Archie","non-dropping-particle":"","parse-names":false,"suffix":""},{"dropping-particle":"","family":"Watkins","given":"Brad","non-dropping-particle":"","parse-names":false,"suffix":""},{"dropping-particle":"","family":"Popp","given":"Michael","non-dropping-particle":"","parse-names":false,"suffix":""}],"container-title":"Department of Agriculture, Research and Extension, University of Arkansas System","id":"ITEM-1","issued":{"date-parts":[["2013"]]},"title":"Impact of the 2012 Drought on Field Crops and Cattle Production in Arkansas - Preliminary Report","type":"webpage"},"uris":["http://www.mendeley.com/documents/?uuid=65d7f644-a72c-43d7-ab3b-689481270eaa"]}],"mendeley":{"formattedCitation":"[4]","plainTextFormattedCitation":"[4]","previouslyFormattedCitation":"(Kemper et al., 2013)"},"properties":{"noteIndex":0},"schema":"https://github.com/citation-style-language/schema/raw/master/csl-citation.json"}</w:instrText>
      </w:r>
      <w:r w:rsidR="00C7658F" w:rsidRPr="00C47481">
        <w:rPr>
          <w:rFonts w:eastAsia="Times New Roman"/>
          <w:color w:val="4472C4" w:themeColor="accent5"/>
        </w:rPr>
        <w:fldChar w:fldCharType="separate"/>
      </w:r>
      <w:r w:rsidR="00C7658F" w:rsidRPr="00C47481">
        <w:rPr>
          <w:rFonts w:eastAsia="Times New Roman"/>
          <w:noProof/>
          <w:color w:val="4472C4" w:themeColor="accent5"/>
        </w:rPr>
        <w:t>[4]</w:t>
      </w:r>
      <w:r w:rsidR="00C7658F" w:rsidRPr="00C47481">
        <w:rPr>
          <w:rFonts w:eastAsia="Times New Roman"/>
          <w:color w:val="4472C4" w:themeColor="accent5"/>
        </w:rPr>
        <w:fldChar w:fldCharType="end"/>
      </w:r>
      <w:r w:rsidRPr="00C92E50">
        <w:t>. This situation is exacerbated by the competition between livestock and humans for major grain crops</w:t>
      </w:r>
      <w:r w:rsidR="0037571A">
        <w:t xml:space="preserve"> (</w:t>
      </w:r>
      <w:r w:rsidR="0037571A" w:rsidRPr="002A1937">
        <w:rPr>
          <w:color w:val="FF0000"/>
        </w:rPr>
        <w:t>citations</w:t>
      </w:r>
      <w:r w:rsidR="0037571A">
        <w:t>)</w:t>
      </w:r>
      <w:r w:rsidRPr="00C92E50">
        <w:t xml:space="preserve">, highlighting the importance of understanding how climate change might affect forage production. This has both direct implications (through grain consumption) and indirect implications (through livestock consumption) on domestic food availability and exports. Additionally, climate change could shift the geographic distribution of forage crops, potentially increasing the costs of livestock feeding. For </w:t>
      </w:r>
      <w:r w:rsidR="00E01798" w:rsidRPr="00C92E50">
        <w:t>rancher’s</w:t>
      </w:r>
      <w:r w:rsidRPr="00C92E50">
        <w:t xml:space="preserve"> dependent on feed grains, either as a supplement or replacement for pasture grazing, changes in forage production due to drought could lead to increased production costs due to higher feed grain prices and the escalated costs of searching for and transporting feed</w:t>
      </w:r>
      <w:r w:rsidR="00C7658F">
        <w:t xml:space="preserve"> </w:t>
      </w:r>
      <w:r w:rsidR="00C7658F" w:rsidRPr="00C47481">
        <w:rPr>
          <w:rFonts w:eastAsia="Times New Roman"/>
          <w:color w:val="4472C4" w:themeColor="accent5"/>
        </w:rPr>
        <w:fldChar w:fldCharType="begin" w:fldLock="1"/>
      </w:r>
      <w:r w:rsidR="00C7658F" w:rsidRPr="00C47481">
        <w:rPr>
          <w:rFonts w:eastAsia="Times New Roman"/>
          <w:color w:val="4472C4" w:themeColor="accent5"/>
        </w:rPr>
        <w:instrText>ADDIN CSL_CITATION {"citationItems":[{"id":"ITEM-1","itemData":{"URL":"https://www.uaex.edu/environment-nature/disaster/drought-effects/Ark_Drought_Report_August2012.pdf","author":[{"dropping-particle":"","family":"Kemper","given":"Nathan","non-dropping-particle":"","parse-names":false,"suffix":""},{"dropping-particle":"","family":"Flanders","given":"Archie","non-dropping-particle":"","parse-names":false,"suffix":""},{"dropping-particle":"","family":"Watkins","given":"Brad","non-dropping-particle":"","parse-names":false,"suffix":""},{"dropping-particle":"","family":"Popp","given":"Michael","non-dropping-particle":"","parse-names":false,"suffix":""}],"container-title":"Department of Agriculture, Research and Extension, University of Arkansas System","id":"ITEM-1","issued":{"date-parts":[["2013"]]},"title":"Impact of the 2012 Drought on Field Crops and Cattle Production in Arkansas - Preliminary Report","type":"webpage"},"uris":["http://www.mendeley.com/documents/?uuid=65d7f644-a72c-43d7-ab3b-689481270eaa"]}],"mendeley":{"formattedCitation":"[4]","plainTextFormattedCitation":"[4]","previouslyFormattedCitation":"(Kemper et al., 2013)"},"properties":{"noteIndex":0},"schema":"https://github.com/citation-style-language/schema/raw/master/csl-citation.json"}</w:instrText>
      </w:r>
      <w:r w:rsidR="00C7658F" w:rsidRPr="00C47481">
        <w:rPr>
          <w:rFonts w:eastAsia="Times New Roman"/>
          <w:color w:val="4472C4" w:themeColor="accent5"/>
        </w:rPr>
        <w:fldChar w:fldCharType="separate"/>
      </w:r>
      <w:r w:rsidR="00C7658F" w:rsidRPr="00C47481">
        <w:rPr>
          <w:rFonts w:eastAsia="Times New Roman"/>
          <w:noProof/>
          <w:color w:val="4472C4" w:themeColor="accent5"/>
        </w:rPr>
        <w:t>[4]</w:t>
      </w:r>
      <w:r w:rsidR="00C7658F" w:rsidRPr="00C47481">
        <w:rPr>
          <w:rFonts w:eastAsia="Times New Roman"/>
          <w:color w:val="4472C4" w:themeColor="accent5"/>
        </w:rPr>
        <w:fldChar w:fldCharType="end"/>
      </w:r>
      <w:r w:rsidRPr="00C92E50">
        <w:t>.</w:t>
      </w:r>
    </w:p>
    <w:p w14:paraId="6AF6A0F5" w14:textId="77777777" w:rsidR="00D22195" w:rsidRDefault="00D22195" w:rsidP="00E408A0"/>
    <w:p w14:paraId="4BC74CCC" w14:textId="6757FB0B" w:rsidR="00D22195" w:rsidRDefault="00D22195" w:rsidP="00E408A0">
      <w:r>
        <w:lastRenderedPageBreak/>
        <w:t xml:space="preserve">Alfalfa production in the United States is a pivotal case study for exploring the effects of climate change on livestock feed. The U.S. hosts the largest livestock industry globally, accounting for </w:t>
      </w:r>
      <w:r w:rsidR="003438C2" w:rsidRPr="003438C2">
        <w:rPr>
          <w:color w:val="FF0000"/>
        </w:rPr>
        <w:t>#</w:t>
      </w:r>
      <w:r>
        <w:t xml:space="preserve">% of the world's energy and </w:t>
      </w:r>
      <w:r w:rsidR="003438C2" w:rsidRPr="003438C2">
        <w:rPr>
          <w:color w:val="FF0000"/>
        </w:rPr>
        <w:t>#</w:t>
      </w:r>
      <w:r>
        <w:t>% of protein consumption</w:t>
      </w:r>
      <w:r w:rsidR="003438C2">
        <w:t xml:space="preserve"> </w:t>
      </w:r>
      <w:r w:rsidR="003438C2">
        <w:rPr>
          <w:color w:val="212121"/>
        </w:rPr>
        <w:t>(</w:t>
      </w:r>
      <w:r w:rsidR="003438C2" w:rsidRPr="002A1937">
        <w:rPr>
          <w:color w:val="FF0000"/>
        </w:rPr>
        <w:t>citations</w:t>
      </w:r>
      <w:r w:rsidR="003438C2">
        <w:rPr>
          <w:color w:val="212121"/>
        </w:rPr>
        <w:t>)</w:t>
      </w:r>
      <w:r>
        <w:t xml:space="preserve">. The growth and scale of the U.S. livestock sector depend significantly on the availability and production of feed grains and forage crops </w:t>
      </w:r>
      <w:r w:rsidRPr="00C47481">
        <w:rPr>
          <w:rFonts w:eastAsia="Times New Roman"/>
          <w:color w:val="4472C4" w:themeColor="accent5"/>
        </w:rPr>
        <w:fldChar w:fldCharType="begin" w:fldLock="1"/>
      </w:r>
      <w:r w:rsidRPr="00C47481">
        <w:rPr>
          <w:rFonts w:eastAsia="Times New Roman"/>
          <w:color w:val="4472C4" w:themeColor="accent5"/>
        </w:rPr>
        <w:instrText>ADDIN CSL_CITATION {"citationItems":[{"id":"ITEM-1","itemData":{"DOI":"10.2307/1237161","ISSN":"10711031","author":[{"dropping-particle":"","family":"Simmons","given":"Will M.","non-dropping-particle":"","parse-names":false,"suffix":""},{"dropping-particle":"","family":"Rizek","given":"Robert L.","non-dropping-particle":"","parse-names":false,"suffix":""}],"container-title":"Journal of Farm Economics","id":"ITEM-1","issue":"5","issued":{"date-parts":[["1966","12"]]},"page":"1455","title":"Performance of the Livestock-Feed-Grain Sector","type":"article-journal","volume":"48"},"uris":["http://www.mendeley.com/documents/?uuid=99b8232f-f738-4a95-bae3-2cd21491aa2f"]},{"id":"ITEM-2","itemData":{"abstract":"A systems econometric model of the livestock (beef and pork), poultry (broiler), and corn sectors was estimated to evaluate cross-sector relationships. The equilibrium multipliers and comparative statics indicate unequal cross-effects of market disturbances, e.g., shocks in the livestock and poultry markets impact corn demand and supply more than shocks in the corn market impact livestock and poultry demands and supplies. Recent 2003 mad cow disease (BSE) problems in Canada and the United States display nontrivial cross-effects. For example, the BSE occurrences reduce real corn revenue in the United States by $0.62 billion, or 5.0% of its 2003 revenue. Copyright 2007 Western Agricultural Economics Association.","author":[{"dropping-particle":"","family":"Marsh","given":"John M.","non-dropping-particle":"","parse-names":false,"suffix":""}],"container-title":"Journal of Agricultural and Resource Economics","id":"ITEM-2","issue":"1","issued":{"date-parts":[["2007"]]},"page":"93-114","title":"Cross-sector relationships between the corn feed grains and livestock and poultry economies","type":"article-journal","volume":"32"},"uris":["http://www.mendeley.com/documents/?uuid=c2fb5aeb-732d-47f7-8cb8-6cc49eb41a34"]}],"mendeley":{"formattedCitation":"[10,11]","plainTextFormattedCitation":"[10,11]","previouslyFormattedCitation":"(Marsh, 2007; Simmons and Rizek, 1966)"},"properties":{"noteIndex":0},"schema":"https://github.com/citation-style-language/schema/raw/master/csl-citation.json"}</w:instrText>
      </w:r>
      <w:r w:rsidRPr="00C47481">
        <w:rPr>
          <w:rFonts w:eastAsia="Times New Roman"/>
          <w:color w:val="4472C4" w:themeColor="accent5"/>
        </w:rPr>
        <w:fldChar w:fldCharType="separate"/>
      </w:r>
      <w:r w:rsidRPr="00C47481">
        <w:rPr>
          <w:rFonts w:eastAsia="Times New Roman"/>
          <w:noProof/>
          <w:color w:val="4472C4" w:themeColor="accent5"/>
        </w:rPr>
        <w:t>[10,11]</w:t>
      </w:r>
      <w:r w:rsidRPr="00C47481">
        <w:rPr>
          <w:rFonts w:eastAsia="Times New Roman"/>
          <w:color w:val="4472C4" w:themeColor="accent5"/>
        </w:rPr>
        <w:fldChar w:fldCharType="end"/>
      </w:r>
      <w:r>
        <w:t xml:space="preserve">. This dependency was dramatically highlighted by the nationwide drought in 2012, which severely degraded over 70% of U.S. pasturelands and led to a significant decrease in cow-calf returns, dropping more than $100 per cow </w:t>
      </w:r>
      <w:r w:rsidRPr="00C47481">
        <w:rPr>
          <w:rFonts w:eastAsia="Times New Roman"/>
          <w:color w:val="4472C4" w:themeColor="accent5"/>
        </w:rPr>
        <w:fldChar w:fldCharType="begin" w:fldLock="1"/>
      </w:r>
      <w:r w:rsidRPr="00C47481">
        <w:rPr>
          <w:rFonts w:eastAsia="Times New Roman"/>
          <w:color w:val="4472C4" w:themeColor="accent5"/>
        </w:rPr>
        <w:instrText>ADDIN CSL_CITATION {"citationItems":[{"id":"ITEM-1","itemData":{"URL":"https://www.uaex.edu/environment-nature/disaster/drought-effects/Ark_Drought_Report_August2012.pdf","author":[{"dropping-particle":"","family":"Kemper","given":"Nathan","non-dropping-particle":"","parse-names":false,"suffix":""},{"dropping-particle":"","family":"Flanders","given":"Archie","non-dropping-particle":"","parse-names":false,"suffix":""},{"dropping-particle":"","family":"Watkins","given":"Brad","non-dropping-particle":"","parse-names":false,"suffix":""},{"dropping-particle":"","family":"Popp","given":"Michael","non-dropping-particle":"","parse-names":false,"suffix":""}],"container-title":"Department of Agriculture, Research and Extension, University of Arkansas System","id":"ITEM-1","issued":{"date-parts":[["2013"]]},"title":"Impact of the 2012 Drought on Field Crops and Cattle Production in Arkansas - Preliminary Report","type":"webpage"},"uris":["http://www.mendeley.com/documents/?uuid=65d7f644-a72c-43d7-ab3b-689481270eaa"]}],"mendeley":{"formattedCitation":"[4]","plainTextFormattedCitation":"[4]","previouslyFormattedCitation":"(Kemper et al., 2013)"},"properties":{"noteIndex":0},"schema":"https://github.com/citation-style-language/schema/raw/master/csl-citation.json"}</w:instrText>
      </w:r>
      <w:r w:rsidRPr="00C47481">
        <w:rPr>
          <w:rFonts w:eastAsia="Times New Roman"/>
          <w:color w:val="4472C4" w:themeColor="accent5"/>
        </w:rPr>
        <w:fldChar w:fldCharType="separate"/>
      </w:r>
      <w:r w:rsidRPr="00C47481">
        <w:rPr>
          <w:rFonts w:eastAsia="Times New Roman"/>
          <w:noProof/>
          <w:color w:val="4472C4" w:themeColor="accent5"/>
        </w:rPr>
        <w:t>[4]</w:t>
      </w:r>
      <w:r w:rsidRPr="00C47481">
        <w:rPr>
          <w:rFonts w:eastAsia="Times New Roman"/>
          <w:color w:val="4472C4" w:themeColor="accent5"/>
        </w:rPr>
        <w:fldChar w:fldCharType="end"/>
      </w:r>
      <w:r>
        <w:t xml:space="preserve">. Alfalfa, ranking as the fourth-largest crop in the U.S. by acreage </w:t>
      </w:r>
      <w:r w:rsidRPr="00C47481">
        <w:rPr>
          <w:color w:val="0070C0"/>
        </w:rPr>
        <w:fldChar w:fldCharType="begin" w:fldLock="1"/>
      </w:r>
      <w:r w:rsidRPr="00C47481">
        <w:rPr>
          <w:color w:val="0070C0"/>
        </w:rPr>
        <w:instrText>ADDIN CSL_CITATION {"citationItems":[{"id":"ITEM-1","itemData":{"URL":"http://quickstats.nass.usda.gov/","accessed":{"date-parts":[["2019","5","5"]]},"author":[{"dropping-particle":"","family":"United States Department of Agriculture [USDA]","given":"","non-dropping-particle":"","parse-names":false,"suffix":""}],"id":"ITEM-1","issued":{"date-parts":[["2019"]]},"title":"USDA - National Agricultural Statistics Service, Quick Stats 2.0","type":"webpage"},"uris":["http://www.mendeley.com/documents/?uuid=a298abb2-f11c-40c1-a837-0fd37bb95583"]}],"mendeley":{"formattedCitation":"[13]","plainTextFormattedCitation":"[13]","previouslyFormattedCitation":"(United States Department of Agriculture [USDA], 2019)"},"properties":{"noteIndex":0},"schema":"https://github.com/citation-style-language/schema/raw/master/csl-citation.json"}</w:instrText>
      </w:r>
      <w:r w:rsidRPr="00C47481">
        <w:rPr>
          <w:color w:val="0070C0"/>
        </w:rPr>
        <w:fldChar w:fldCharType="separate"/>
      </w:r>
      <w:r w:rsidRPr="00C47481">
        <w:rPr>
          <w:noProof/>
          <w:color w:val="0070C0"/>
        </w:rPr>
        <w:t>[13]</w:t>
      </w:r>
      <w:r w:rsidRPr="00C47481">
        <w:rPr>
          <w:color w:val="0070C0"/>
        </w:rPr>
        <w:fldChar w:fldCharType="end"/>
      </w:r>
      <w:r>
        <w:t>, stands out for its high protein content and nitrogen-fixing ability, which lessens the reliance on synthetic fertilizers.</w:t>
      </w:r>
      <w:r w:rsidRPr="00D22195">
        <w:rPr>
          <w:rStyle w:val="FootnoteReference"/>
        </w:rPr>
        <w:t xml:space="preserve"> </w:t>
      </w:r>
      <w:r w:rsidRPr="00C47481">
        <w:rPr>
          <w:rStyle w:val="FootnoteReference"/>
        </w:rPr>
        <w:footnoteReference w:id="2"/>
      </w:r>
      <w:r>
        <w:t xml:space="preserve"> In 2019, the U.S. harvested more than 54 million tons of alfalfa, with a value of approximately $8.4 billion </w:t>
      </w:r>
      <w:r w:rsidRPr="00C47481">
        <w:rPr>
          <w:color w:val="0070C0"/>
        </w:rPr>
        <w:fldChar w:fldCharType="begin" w:fldLock="1"/>
      </w:r>
      <w:r w:rsidRPr="00C47481">
        <w:rPr>
          <w:color w:val="0070C0"/>
        </w:rPr>
        <w:instrText>ADDIN CSL_CITATION {"citationItems":[{"id":"ITEM-1","itemData":{"URL":"http://quickstats.nass.usda.gov/","accessed":{"date-parts":[["2019","5","5"]]},"author":[{"dropping-particle":"","family":"United States Department of Agriculture [USDA]","given":"","non-dropping-particle":"","parse-names":false,"suffix":""}],"id":"ITEM-1","issued":{"date-parts":[["2019"]]},"title":"USDA - National Agricultural Statistics Service, Quick Stats 2.0","type":"webpage"},"uris":["http://www.mendeley.com/documents/?uuid=a298abb2-f11c-40c1-a837-0fd37bb95583"]}],"mendeley":{"formattedCitation":"[13]","plainTextFormattedCitation":"[13]","previouslyFormattedCitation":"(United States Department of Agriculture [USDA], 2019)"},"properties":{"noteIndex":0},"schema":"https://github.com/citation-style-language/schema/raw/master/csl-citation.json"}</w:instrText>
      </w:r>
      <w:r w:rsidRPr="00C47481">
        <w:rPr>
          <w:color w:val="0070C0"/>
        </w:rPr>
        <w:fldChar w:fldCharType="separate"/>
      </w:r>
      <w:r w:rsidRPr="00C47481">
        <w:rPr>
          <w:noProof/>
          <w:color w:val="0070C0"/>
        </w:rPr>
        <w:t>[13]</w:t>
      </w:r>
      <w:r w:rsidRPr="00C47481">
        <w:rPr>
          <w:color w:val="0070C0"/>
        </w:rPr>
        <w:fldChar w:fldCharType="end"/>
      </w:r>
      <w:r>
        <w:t>. Annually, the total acreage dedicated to hay, including alfalfa, is about 128 million, valued at an estimated $17 billion. Alfalfa is primarily cultivated in the northwestern U.S., especially in states such as California, Idaho, Nevada, Oregon, Wyoming, and Washington</w:t>
      </w:r>
      <w:r w:rsidR="001051F9">
        <w:t xml:space="preserve"> (see Figure 1)</w:t>
      </w:r>
      <w:r>
        <w:t>. This regional concentration highlights the potential risks and challenges climate change poses to alfalfa production, affecting the entire livestock feed industry on both local and global scales.</w:t>
      </w:r>
    </w:p>
    <w:p w14:paraId="4A9281EA" w14:textId="25C3D133" w:rsidR="004A522B" w:rsidRDefault="00255675" w:rsidP="00E408A0">
      <w:r w:rsidRPr="00255675">
        <w:t>This paper centers on alfalfa</w:t>
      </w:r>
      <w:r w:rsidR="007E64F1">
        <w:t xml:space="preserve"> hay</w:t>
      </w:r>
      <w:r w:rsidRPr="00255675">
        <w:t>, aiming to bridge the gap in existing research by exploring three interrelated questions. The first question investigates the direct impact of global warming on alfalfa yields. The second question examines potential shifts in the spatial distribution of alfalfa availability, considering both local production within a county and the influence of neighboring counties' output. The third question assesses how changes in alfalfa availability might influence the geographical distribution of cattle production.</w:t>
      </w:r>
      <w:r>
        <w:t xml:space="preserve"> </w:t>
      </w:r>
      <w:r w:rsidR="00D5077A" w:rsidRPr="00C47481">
        <w:t>To answer these questions</w:t>
      </w:r>
      <w:r w:rsidR="0094507F" w:rsidRPr="00C47481">
        <w:t>, t</w:t>
      </w:r>
      <w:r w:rsidR="00485AB9" w:rsidRPr="00C47481">
        <w:t xml:space="preserve">he study utilizes </w:t>
      </w:r>
      <w:r w:rsidR="00621F4A" w:rsidRPr="00C47481">
        <w:lastRenderedPageBreak/>
        <w:t>two</w:t>
      </w:r>
      <w:r w:rsidR="00485AB9" w:rsidRPr="00C47481">
        <w:t xml:space="preserve"> m</w:t>
      </w:r>
      <w:r w:rsidR="004A522B" w:rsidRPr="00C47481">
        <w:t xml:space="preserve">ain </w:t>
      </w:r>
      <w:r w:rsidR="001F0C30" w:rsidRPr="00C47481">
        <w:t xml:space="preserve">methods </w:t>
      </w:r>
      <w:r w:rsidR="004A522B" w:rsidRPr="00C47481">
        <w:t>of analysis</w:t>
      </w:r>
      <w:r w:rsidR="00642D8F" w:rsidRPr="00C47481">
        <w:t xml:space="preserve">. </w:t>
      </w:r>
      <w:r w:rsidR="004A522B" w:rsidRPr="00C47481">
        <w:t xml:space="preserve">The first applies reliable models of temperature-yield relationships </w:t>
      </w:r>
      <w:r w:rsidR="000B0FB5" w:rsidRPr="00C47481">
        <w:rPr>
          <w:color w:val="4472C4" w:themeColor="accent5"/>
        </w:rPr>
        <w:fldChar w:fldCharType="begin" w:fldLock="1"/>
      </w:r>
      <w:r w:rsidR="00414170" w:rsidRPr="00C47481">
        <w:rPr>
          <w:color w:val="4472C4" w:themeColor="accent5"/>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change","type":"article-journal"},"uris":["http://www.mendeley.com/documents/?uuid=fa807162-75c4-4697-aae1-b8f6f31dba55"]},{"id":"ITEM-2","itemData":{"DOI":"10.1038/s41467-020-18317-8","ISSN":"2041-1723","author":[{"dropping-particle":"","family":"Shew","given":"Aaron M.","non-dropping-particle":"","parse-names":false,"suffix":""},{"dropping-particle":"","family":"Tack","given":"Jesse B.","non-dropping-particle":"","parse-names":false,"suffix":""},{"dropping-particle":"","family":"Nalley","given":"Lawton L.","non-dropping-particle":"","parse-names":false,"suffix":""},{"dropping-particle":"","family":"Chaminuka","given":"Petronella","non-dropping-particle":"","parse-names":false,"suffix":""}],"container-title":"Nature Communications","id":"ITEM-2","issue":"1","issued":{"date-parts":[["2020","12","2"]]},"page":"4408","title":"Yield reduction under climate warming varies among wheat cultivars in South Africa","type":"article-journal","volume":"11"},"uris":["http://www.mendeley.com/documents/?uuid=59a81fc6-3520-4289-a58b-55dd0f410397"]},{"id":"ITEM-3","itemData":{"DOI":"10.1073/pnas.1415181112","ISSN":"0027-8424","author":[{"dropping-particle":"","family":"Tack","given":"Jesse","non-dropping-particle":"","parse-names":false,"suffix":""},{"dropping-particle":"","family":"Barkley","given":"Andrew","non-dropping-particle":"","parse-names":false,"suffix":""},{"dropping-particle":"","family":"Nalley","given":"Lawton Lanier","non-dropping-particle":"","parse-names":false,"suffix":""}],"container-title":"Proceedings of the National Academy of Sciences","id":"ITEM-3","issue":"22","issued":{"date-parts":[["2015","6","2"]]},"page":"6931-6936","title":"Effect of warming temperatures on US wheat yields","type":"article-journal","volume":"112"},"uris":["http://www.mendeley.com/documents/?uuid=b8a17bac-f39a-4125-b718-a14c3a7345ba"]}],"mendeley":{"formattedCitation":"[16,17,19]","plainTextFormattedCitation":"[16,17,19]","previouslyFormattedCitation":"(Schlenker and Roberts, 2009; Shew et al., 2020; Tack et al., 2015)"},"properties":{"noteIndex":0},"schema":"https://github.com/citation-style-language/schema/raw/master/csl-citation.json"}</w:instrText>
      </w:r>
      <w:r w:rsidR="000B0FB5" w:rsidRPr="00C47481">
        <w:rPr>
          <w:color w:val="4472C4" w:themeColor="accent5"/>
        </w:rPr>
        <w:fldChar w:fldCharType="separate"/>
      </w:r>
      <w:r w:rsidR="00414170" w:rsidRPr="00C47481">
        <w:rPr>
          <w:noProof/>
          <w:color w:val="4472C4" w:themeColor="accent5"/>
        </w:rPr>
        <w:t>[16,17,19]</w:t>
      </w:r>
      <w:r w:rsidR="000B0FB5" w:rsidRPr="00C47481">
        <w:rPr>
          <w:color w:val="4472C4" w:themeColor="accent5"/>
        </w:rPr>
        <w:fldChar w:fldCharType="end"/>
      </w:r>
      <w:r w:rsidR="004A522B" w:rsidRPr="00C47481">
        <w:rPr>
          <w:color w:val="5B9BD5" w:themeColor="accent1"/>
        </w:rPr>
        <w:t xml:space="preserve"> </w:t>
      </w:r>
      <w:r w:rsidR="004A522B" w:rsidRPr="00C47481">
        <w:t xml:space="preserve">to </w:t>
      </w:r>
      <w:r w:rsidR="003E73B6" w:rsidRPr="00C47481">
        <w:t>county</w:t>
      </w:r>
      <w:r w:rsidR="007B3145" w:rsidRPr="00C47481">
        <w:t>-</w:t>
      </w:r>
      <w:r w:rsidR="004A522B" w:rsidRPr="00C47481">
        <w:t xml:space="preserve">level data from </w:t>
      </w:r>
      <w:r w:rsidR="001D2973" w:rsidRPr="00C47481">
        <w:t>1951</w:t>
      </w:r>
      <w:r w:rsidR="004A522B" w:rsidRPr="00C47481">
        <w:t xml:space="preserve"> to </w:t>
      </w:r>
      <w:r w:rsidR="004B0398">
        <w:t>2022</w:t>
      </w:r>
      <w:r w:rsidR="004A522B" w:rsidRPr="00C47481">
        <w:t xml:space="preserve"> to estimate temperature thresholds above which </w:t>
      </w:r>
      <w:r w:rsidR="00DD398F" w:rsidRPr="00C47481">
        <w:t>alfalfa</w:t>
      </w:r>
      <w:r w:rsidR="004A522B" w:rsidRPr="00C47481">
        <w:t xml:space="preserve"> yields begin to decline. Given these thresholds, the study then estimates the degree to which yields decline for incremental changes in temperatures. </w:t>
      </w:r>
      <w:r w:rsidR="008B3C7C" w:rsidRPr="00C47481">
        <w:t>The second analysis</w:t>
      </w:r>
      <w:r w:rsidR="004A522B" w:rsidRPr="00C47481">
        <w:t xml:space="preserve"> </w:t>
      </w:r>
      <w:r w:rsidR="00652D70" w:rsidRPr="00C47481">
        <w:t>uses simulation</w:t>
      </w:r>
      <w:r w:rsidR="00F322D5" w:rsidRPr="00C47481">
        <w:t>s</w:t>
      </w:r>
      <w:r w:rsidR="00652D70" w:rsidRPr="00C47481">
        <w:t xml:space="preserve"> to determine the </w:t>
      </w:r>
      <w:r w:rsidR="00FF7DE8" w:rsidRPr="00C47481">
        <w:t xml:space="preserve">spatial distribution of </w:t>
      </w:r>
      <w:r w:rsidR="00336949" w:rsidRPr="00C47481">
        <w:t xml:space="preserve">alfalfa </w:t>
      </w:r>
      <w:r w:rsidR="004B0398">
        <w:t>availability</w:t>
      </w:r>
      <w:r w:rsidR="00994EED">
        <w:t xml:space="preserve"> and </w:t>
      </w:r>
      <w:r w:rsidR="006D59FA">
        <w:t>its</w:t>
      </w:r>
      <w:r w:rsidR="00994EED">
        <w:t xml:space="preserve"> impact on where cattle are produced</w:t>
      </w:r>
      <w:r w:rsidR="004B0398" w:rsidRPr="00C47481">
        <w:t xml:space="preserve"> </w:t>
      </w:r>
      <w:r w:rsidR="00336949" w:rsidRPr="00C47481">
        <w:t xml:space="preserve">given </w:t>
      </w:r>
      <w:r w:rsidR="00ED5266" w:rsidRPr="00C47481">
        <w:t>t</w:t>
      </w:r>
      <w:r w:rsidR="00336949" w:rsidRPr="00C47481">
        <w:t xml:space="preserve">he </w:t>
      </w:r>
      <w:r w:rsidR="00644508" w:rsidRPr="00C47481">
        <w:t xml:space="preserve">effects from the </w:t>
      </w:r>
      <w:r w:rsidR="00DE3D48" w:rsidRPr="00C47481">
        <w:t>first</w:t>
      </w:r>
      <w:r w:rsidR="00644508" w:rsidRPr="00C47481">
        <w:t xml:space="preserve"> analysis and </w:t>
      </w:r>
      <w:r w:rsidR="00F774A0" w:rsidRPr="00C47481">
        <w:t>projected warming scenarios</w:t>
      </w:r>
      <w:r w:rsidR="00BD46E3" w:rsidRPr="00C47481">
        <w:t xml:space="preserve">. </w:t>
      </w:r>
    </w:p>
    <w:p w14:paraId="6E6054D9" w14:textId="06C00EE3" w:rsidR="00D378C9" w:rsidRDefault="00D378C9" w:rsidP="00E408A0">
      <w:r>
        <w:t xml:space="preserve">The results show that </w:t>
      </w:r>
      <w:r w:rsidR="007F03EC">
        <w:t>i</w:t>
      </w:r>
      <w:r w:rsidR="007F03EC" w:rsidRPr="007F03EC">
        <w:t>ncreased exposure to beneficial heat (14°C-29°C) positively correlates with alfalfa hay yields, while exposure to heat above 29°C is detrimental. Incremental warming by 0.5°C shows a progression of yield reduction, with significant decreases under scenarios from 1°C to 3°C warming. Regionally, the Northeast sees yield gains in states like Connecticut, Rhode Island, and Massachusetts due to cooler climates reducing heat stress. In contrast, the South, along with parts of the Midwest and West, experiences notable declines, particularly in Texas, Louisiana, Oklahoma, Kansas, and Arizona, attributed to increased heat and potential drought. A 0.5°C increase boosts yield in some northern states, but substantial decreases occur in southern states such as Alabama, Arizona, and Florida, with Florida facing a 2.77% drop. As temperatures rise further, the impacts intensify, with Florida and Texas experiencing significant losses of 22.55% and 25.49% at a 3°C increase. This demonstrates the varying regional vulnerabilities of US livestock production to climate change, with northern gains diminishing or reversing beyond a 2°C rise</w:t>
      </w:r>
      <w:r w:rsidR="00A337F7" w:rsidRPr="00A337F7">
        <w:t>.</w:t>
      </w:r>
    </w:p>
    <w:p w14:paraId="4A8B20A8" w14:textId="51021A83" w:rsidR="00B77702" w:rsidRPr="006C11BF" w:rsidRDefault="00006381" w:rsidP="00E408A0">
      <w:pPr>
        <w:rPr>
          <w:color w:val="FF0000"/>
        </w:rPr>
      </w:pPr>
      <w:r w:rsidRPr="006C11BF">
        <w:rPr>
          <w:color w:val="FF0000"/>
        </w:rPr>
        <w:t xml:space="preserve">[Insert </w:t>
      </w:r>
      <w:r w:rsidR="00B13119" w:rsidRPr="006C11BF">
        <w:rPr>
          <w:color w:val="FF0000"/>
        </w:rPr>
        <w:t xml:space="preserve">availability and cattle </w:t>
      </w:r>
      <w:r w:rsidR="007C12B8">
        <w:rPr>
          <w:color w:val="FF0000"/>
        </w:rPr>
        <w:t>shift</w:t>
      </w:r>
      <w:r w:rsidR="00B13119" w:rsidRPr="006C11BF">
        <w:rPr>
          <w:color w:val="FF0000"/>
        </w:rPr>
        <w:t xml:space="preserve"> </w:t>
      </w:r>
      <w:r w:rsidRPr="006C11BF">
        <w:rPr>
          <w:color w:val="FF0000"/>
        </w:rPr>
        <w:t>results: 1 paragraph</w:t>
      </w:r>
      <w:r w:rsidR="00D22195" w:rsidRPr="006C11BF">
        <w:rPr>
          <w:color w:val="FF0000"/>
        </w:rPr>
        <w:t>]</w:t>
      </w:r>
    </w:p>
    <w:p w14:paraId="480B8934" w14:textId="4E38CB2A" w:rsidR="00D22195" w:rsidRPr="006C11BF" w:rsidRDefault="00006381" w:rsidP="00E408A0">
      <w:pPr>
        <w:rPr>
          <w:color w:val="FF0000"/>
        </w:rPr>
      </w:pPr>
      <w:r w:rsidRPr="006C11BF">
        <w:rPr>
          <w:color w:val="FF0000"/>
        </w:rPr>
        <w:t>[insert broader</w:t>
      </w:r>
      <w:r w:rsidR="00D22195" w:rsidRPr="006C11BF">
        <w:rPr>
          <w:color w:val="FF0000"/>
        </w:rPr>
        <w:t xml:space="preserve"> implications</w:t>
      </w:r>
      <w:r w:rsidR="0014310A">
        <w:rPr>
          <w:color w:val="FF0000"/>
        </w:rPr>
        <w:t xml:space="preserve"> </w:t>
      </w:r>
      <w:r w:rsidR="0014310A" w:rsidRPr="006C11BF">
        <w:rPr>
          <w:color w:val="FF0000"/>
        </w:rPr>
        <w:t>1 paragraph</w:t>
      </w:r>
      <w:r w:rsidR="00D22195" w:rsidRPr="006C11BF">
        <w:rPr>
          <w:color w:val="FF0000"/>
        </w:rPr>
        <w:t>]</w:t>
      </w:r>
    </w:p>
    <w:p w14:paraId="5B8C067F" w14:textId="6F826C79" w:rsidR="00D22195" w:rsidRPr="006C11BF" w:rsidRDefault="00D22195" w:rsidP="00E408A0">
      <w:pPr>
        <w:rPr>
          <w:color w:val="FF0000"/>
        </w:rPr>
      </w:pPr>
      <w:r w:rsidRPr="006C11BF">
        <w:rPr>
          <w:color w:val="FF0000"/>
        </w:rPr>
        <w:t>[</w:t>
      </w:r>
      <w:r w:rsidR="00006381" w:rsidRPr="006C11BF">
        <w:rPr>
          <w:color w:val="FF0000"/>
        </w:rPr>
        <w:t xml:space="preserve">insert value added relative </w:t>
      </w:r>
      <w:r w:rsidR="0014310A">
        <w:rPr>
          <w:color w:val="FF0000"/>
        </w:rPr>
        <w:t xml:space="preserve">to </w:t>
      </w:r>
      <w:r w:rsidRPr="006C11BF">
        <w:rPr>
          <w:color w:val="FF0000"/>
        </w:rPr>
        <w:t>literature</w:t>
      </w:r>
      <w:r w:rsidR="0014310A">
        <w:rPr>
          <w:color w:val="FF0000"/>
        </w:rPr>
        <w:t xml:space="preserve"> </w:t>
      </w:r>
      <w:r w:rsidR="0014310A" w:rsidRPr="006C11BF">
        <w:rPr>
          <w:color w:val="FF0000"/>
        </w:rPr>
        <w:t>1</w:t>
      </w:r>
      <w:r w:rsidR="0014310A">
        <w:rPr>
          <w:color w:val="FF0000"/>
        </w:rPr>
        <w:t>-2</w:t>
      </w:r>
      <w:r w:rsidR="0014310A" w:rsidRPr="006C11BF">
        <w:rPr>
          <w:color w:val="FF0000"/>
        </w:rPr>
        <w:t xml:space="preserve"> paragraph</w:t>
      </w:r>
      <w:r w:rsidRPr="006C11BF">
        <w:rPr>
          <w:color w:val="FF0000"/>
        </w:rPr>
        <w:t>]</w:t>
      </w:r>
    </w:p>
    <w:p w14:paraId="494A5FEA" w14:textId="6BC90D4D" w:rsidR="004D5DF2" w:rsidRDefault="00922D30" w:rsidP="00E408A0">
      <w:r w:rsidRPr="00922D30">
        <w:lastRenderedPageBreak/>
        <w:t xml:space="preserve">In the following sections, we first describe the data sources, including yield measurements and temperature records, and outline the methodology for defining the alfalfa growing season and constructing variables such as growing degree days. Our methods section </w:t>
      </w:r>
      <w:r>
        <w:t>s</w:t>
      </w:r>
      <w:r w:rsidRPr="00922D30">
        <w:t>tart</w:t>
      </w:r>
      <w:r>
        <w:t>s</w:t>
      </w:r>
      <w:r w:rsidRPr="00922D30">
        <w:t xml:space="preserve"> with </w:t>
      </w:r>
      <w:r>
        <w:t xml:space="preserve">a </w:t>
      </w:r>
      <w:r w:rsidRPr="00922D30">
        <w:t>metric</w:t>
      </w:r>
      <w:r>
        <w:t xml:space="preserve"> for </w:t>
      </w:r>
      <w:r w:rsidRPr="00922D30">
        <w:t xml:space="preserve">alfalfa availability, a model for heat impact on yield, and concluding with simulations to project future warming scenarios. </w:t>
      </w:r>
      <w:r w:rsidR="00C2457C">
        <w:t>The r</w:t>
      </w:r>
      <w:r w:rsidR="00501035" w:rsidRPr="00501035">
        <w:t xml:space="preserve">esults, presents comprehensive findings, including </w:t>
      </w:r>
      <w:r w:rsidR="00C2457C">
        <w:t>nonlinear relationship between alfalfa hay yields and heat</w:t>
      </w:r>
      <w:r w:rsidR="00501035" w:rsidRPr="00501035">
        <w:t>, the differential impacts of uniform warming scenarios on yields, and the subsequent effects on alfalfa availability. Additionally, this section explores the geographical adaptation strategies of U.S. cattle production in response to these changes</w:t>
      </w:r>
      <w:r w:rsidRPr="00922D30">
        <w:t xml:space="preserve">. The conclusion synthesizes </w:t>
      </w:r>
      <w:r w:rsidR="00C2457C">
        <w:t>the</w:t>
      </w:r>
      <w:r w:rsidRPr="00922D30">
        <w:t xml:space="preserve"> findings, emphasizing their importance for agricultural strategies and climate resilience.</w:t>
      </w:r>
    </w:p>
    <w:p w14:paraId="2D5EAF2D" w14:textId="79374401" w:rsidR="00A1269F" w:rsidRDefault="00382D81" w:rsidP="00E408A0">
      <w:pPr>
        <w:pStyle w:val="Heading1"/>
        <w:rPr>
          <w:rFonts w:eastAsia="Times New Roman"/>
        </w:rPr>
      </w:pPr>
      <w:r>
        <w:rPr>
          <w:rFonts w:eastAsia="Times New Roman"/>
        </w:rPr>
        <w:t xml:space="preserve">2. </w:t>
      </w:r>
      <w:r w:rsidR="00A1269F" w:rsidRPr="00C47481">
        <w:rPr>
          <w:rFonts w:eastAsia="Times New Roman"/>
        </w:rPr>
        <w:t>Data</w:t>
      </w:r>
    </w:p>
    <w:p w14:paraId="196D7BB9" w14:textId="4C3B17D9" w:rsidR="00E035EB" w:rsidRDefault="00E035EB" w:rsidP="00E408A0">
      <w:r>
        <w:t>We utilize a county-level unbalanced panel dataset of alfalfa production outcomes (yield, area, and production output), livestock inventory, and weather variables constructed from multiple sources. The county-level alfalfa production outcomes and livestock inventory data are sourced from the USDA National Agricultural Statistics Service (NASS) Quick Stats database</w:t>
      </w:r>
      <w:r w:rsidR="000834CB">
        <w:t xml:space="preserve"> </w:t>
      </w:r>
      <w:r w:rsidR="000834CB" w:rsidRPr="00C47481">
        <w:rPr>
          <w:color w:val="0070C0"/>
        </w:rPr>
        <w:fldChar w:fldCharType="begin" w:fldLock="1"/>
      </w:r>
      <w:r w:rsidR="000834CB" w:rsidRPr="00C47481">
        <w:rPr>
          <w:color w:val="0070C0"/>
        </w:rPr>
        <w:instrText>ADDIN CSL_CITATION {"citationItems":[{"id":"ITEM-1","itemData":{"URL":"http://quickstats.nass.usda.gov/","accessed":{"date-parts":[["2019","5","5"]]},"author":[{"dropping-particle":"","family":"United States Department of Agriculture [USDA]","given":"","non-dropping-particle":"","parse-names":false,"suffix":""}],"id":"ITEM-1","issued":{"date-parts":[["2019"]]},"title":"USDA - National Agricultural Statistics Service, Quick Stats 2.0","type":"webpage"},"uris":["http://www.mendeley.com/documents/?uuid=a298abb2-f11c-40c1-a837-0fd37bb95583"]}],"mendeley":{"formattedCitation":"[13]","plainTextFormattedCitation":"[13]","previouslyFormattedCitation":"(United States Department of Agriculture [USDA], 2019)"},"properties":{"noteIndex":0},"schema":"https://github.com/citation-style-language/schema/raw/master/csl-citation.json"}</w:instrText>
      </w:r>
      <w:r w:rsidR="000834CB" w:rsidRPr="00C47481">
        <w:rPr>
          <w:color w:val="0070C0"/>
        </w:rPr>
        <w:fldChar w:fldCharType="separate"/>
      </w:r>
      <w:r w:rsidR="000834CB" w:rsidRPr="00C47481">
        <w:rPr>
          <w:noProof/>
          <w:color w:val="0070C0"/>
        </w:rPr>
        <w:t>[13]</w:t>
      </w:r>
      <w:r w:rsidR="000834CB" w:rsidRPr="00C47481">
        <w:rPr>
          <w:color w:val="0070C0"/>
        </w:rPr>
        <w:fldChar w:fldCharType="end"/>
      </w:r>
      <w:r>
        <w:t>. Weather variables are derived from the Parameter-elevation Regressions on Independent Slopes Model (PRISM) weather dataset, which provides grid-level (2.5 x 2.5 mile) daily weather data processed according</w:t>
      </w:r>
      <w:r w:rsidR="001526A2">
        <w:t xml:space="preserve"> to</w:t>
      </w:r>
      <w:r>
        <w:t xml:space="preserve"> </w:t>
      </w:r>
      <w:r w:rsidR="001D2444" w:rsidRPr="00C47481">
        <w:t xml:space="preserve">related literature </w:t>
      </w:r>
      <w:r w:rsidR="001D2444" w:rsidRPr="00C47481">
        <w:rPr>
          <w:color w:val="4472C4" w:themeColor="accent5"/>
        </w:rPr>
        <w:fldChar w:fldCharType="begin" w:fldLock="1"/>
      </w:r>
      <w:r w:rsidR="001D2444" w:rsidRPr="00C47481">
        <w:rPr>
          <w:color w:val="4472C4" w:themeColor="accent5"/>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id":"ITEM-2","itemData":{"DOI":"10.1073/pnas.1415181112","ISSN":"0027-8424","author":[{"dropping-particle":"","family":"Tack","given":"Jesse","non-dropping-particle":"","parse-names":false,"suffix":""},{"dropping-particle":"","family":"Barkley","given":"Andrew","non-dropping-particle":"","parse-names":false,"suffix":""},{"dropping-particle":"","family":"Nalley","given":"Lawton Lanier","non-dropping-particle":"","parse-names":false,"suffix":""}],"container-title":"Proceedings of the National Academy of Sciences","id":"ITEM-2","issue":"22","issued":{"date-parts":[["2015","6","2"]]},"page":"6931-6936","title":"Effect of warming temperatures on US wheat yields","type":"article-journal","volume":"112"},"uris":["http://www.mendeley.com/documents/?uuid=b8a17bac-f39a-4125-b718-a14c3a7345ba"]}],"mendeley":{"formattedCitation":"[16,17]","plainTextFormattedCitation":"[16,17]","previouslyFormattedCitation":"(Schlenker and Roberts, 2009; Tack et al., 2015)"},"properties":{"noteIndex":0},"schema":"https://github.com/citation-style-language/schema/raw/master/csl-citation.json"}</w:instrText>
      </w:r>
      <w:r w:rsidR="001D2444" w:rsidRPr="00C47481">
        <w:rPr>
          <w:color w:val="4472C4" w:themeColor="accent5"/>
        </w:rPr>
        <w:fldChar w:fldCharType="separate"/>
      </w:r>
      <w:r w:rsidR="001D2444" w:rsidRPr="00C47481">
        <w:rPr>
          <w:noProof/>
          <w:color w:val="4472C4" w:themeColor="accent5"/>
        </w:rPr>
        <w:t>[16,17]</w:t>
      </w:r>
      <w:r w:rsidR="001D2444" w:rsidRPr="00C47481">
        <w:rPr>
          <w:color w:val="4472C4" w:themeColor="accent5"/>
        </w:rPr>
        <w:fldChar w:fldCharType="end"/>
      </w:r>
      <w:r w:rsidR="001D2444" w:rsidRPr="00C47481">
        <w:t>.</w:t>
      </w:r>
      <w:r>
        <w:t xml:space="preserve"> Degree-day variables (detailed in Section 3) are calculated based on the interpolation procedure </w:t>
      </w:r>
      <w:r w:rsidR="00C52D54" w:rsidRPr="00C47481">
        <w:rPr>
          <w:rFonts w:eastAsiaTheme="minorEastAsia"/>
          <w:color w:val="ED7D31" w:themeColor="accent2"/>
        </w:rPr>
        <w:fldChar w:fldCharType="begin" w:fldLock="1"/>
      </w:r>
      <w:r w:rsidR="00C52D54" w:rsidRPr="00C47481">
        <w:rPr>
          <w:rFonts w:eastAsiaTheme="minorEastAsia"/>
          <w:color w:val="ED7D31" w:themeColor="accent2"/>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change","type":"article-journal"},"uris":["http://www.mendeley.com/documents/?uuid=fa807162-75c4-4697-aae1-b8f6f31dba55"]}],"mendeley":{"formattedCitation":"[16]","plainTextFormattedCitation":"[16]","previouslyFormattedCitation":"(Schlenker and Roberts, 2009)"},"properties":{"noteIndex":0},"schema":"https://github.com/citation-style-language/schema/raw/master/csl-citation.json"}</w:instrText>
      </w:r>
      <w:r w:rsidR="00C52D54" w:rsidRPr="00C47481">
        <w:rPr>
          <w:rFonts w:eastAsiaTheme="minorEastAsia"/>
          <w:color w:val="ED7D31" w:themeColor="accent2"/>
        </w:rPr>
        <w:fldChar w:fldCharType="separate"/>
      </w:r>
      <w:r w:rsidR="00C52D54" w:rsidRPr="00C47481">
        <w:rPr>
          <w:rFonts w:eastAsiaTheme="minorEastAsia"/>
          <w:noProof/>
          <w:color w:val="ED7D31" w:themeColor="accent2"/>
        </w:rPr>
        <w:t>[16]</w:t>
      </w:r>
      <w:r w:rsidR="00C52D54" w:rsidRPr="00C47481">
        <w:rPr>
          <w:rFonts w:eastAsiaTheme="minorEastAsia"/>
          <w:color w:val="ED7D31" w:themeColor="accent2"/>
        </w:rPr>
        <w:fldChar w:fldCharType="end"/>
      </w:r>
      <w:r>
        <w:t>.</w:t>
      </w:r>
    </w:p>
    <w:p w14:paraId="2FBEA72E" w14:textId="4E99E27F" w:rsidR="00B70F24" w:rsidRDefault="00E035EB" w:rsidP="00E408A0">
      <w:r>
        <w:t>All weather variables were first aggregated to the county level as the weighted mean of all the PRISM grids within each county, using the proportion of each PRISM grid related to alfalfa and pasture cover based on cropland data layers (CDLs) from NASS CropScape (2008-2022)</w:t>
      </w:r>
      <w:r w:rsidR="000834CB">
        <w:t xml:space="preserve"> </w:t>
      </w:r>
      <w:r w:rsidR="000834CB" w:rsidRPr="00C47481">
        <w:rPr>
          <w:color w:val="0070C0"/>
        </w:rPr>
        <w:fldChar w:fldCharType="begin" w:fldLock="1"/>
      </w:r>
      <w:r w:rsidR="000834CB" w:rsidRPr="00C47481">
        <w:rPr>
          <w:color w:val="0070C0"/>
        </w:rPr>
        <w:instrText>ADDIN CSL_CITATION {"citationItems":[{"id":"ITEM-1","itemData":{"URL":"https://nassgeodata.gmu.edu/CropScape/","author":[{"dropping-particle":"","family":"USDA National Agricultural Statistics Service","given":"","non-dropping-particle":"","parse-names":false,"suffix":""}],"id":"ITEM-1","issued":{"date-parts":[["2019"]]},"title":"CropScape - Cropland Data Layer (2019 release)","type":"webpage"},"uris":["http://www.mendeley.com/documents/?uuid=5d17992b-4e59-4fe2-947b-3c313fbcdb99"]}],"mendeley":{"formattedCitation":"[20]","plainTextFormattedCitation":"[20]","previouslyFormattedCitation":"(USDA National Agricultural Statistics Service, 2019)"},"properties":{"noteIndex":0},"schema":"https://github.com/citation-style-language/schema/raw/master/csl-citation.json"}</w:instrText>
      </w:r>
      <w:r w:rsidR="000834CB" w:rsidRPr="00C47481">
        <w:rPr>
          <w:color w:val="0070C0"/>
        </w:rPr>
        <w:fldChar w:fldCharType="separate"/>
      </w:r>
      <w:r w:rsidR="000834CB" w:rsidRPr="00C47481">
        <w:rPr>
          <w:noProof/>
          <w:color w:val="0070C0"/>
        </w:rPr>
        <w:t>[20]</w:t>
      </w:r>
      <w:r w:rsidR="000834CB" w:rsidRPr="00C47481">
        <w:rPr>
          <w:color w:val="0070C0"/>
        </w:rPr>
        <w:fldChar w:fldCharType="end"/>
      </w:r>
      <w:r>
        <w:t xml:space="preserve"> as the aggregation weights. Subsequently, the daily degree days and precipitation were further </w:t>
      </w:r>
      <w:r>
        <w:lastRenderedPageBreak/>
        <w:t>aggregated over each year’s growing season for each county. The growing seasons are defined by state according to the NASS definition of the marketing year for hay.</w:t>
      </w:r>
      <w:r w:rsidR="00030DB7">
        <w:rPr>
          <w:rStyle w:val="FootnoteReference"/>
        </w:rPr>
        <w:footnoteReference w:id="3"/>
      </w:r>
      <w:r>
        <w:t xml:space="preserve"> Within each state-defined range, we aggregated data only over the first seven months.</w:t>
      </w:r>
      <w:r w:rsidR="000834CB" w:rsidRPr="000834CB">
        <w:rPr>
          <w:rStyle w:val="FootnoteReference"/>
        </w:rPr>
        <w:t xml:space="preserve"> </w:t>
      </w:r>
      <w:r w:rsidR="000834CB" w:rsidRPr="00C47481">
        <w:rPr>
          <w:rStyle w:val="FootnoteReference"/>
        </w:rPr>
        <w:footnoteReference w:id="4"/>
      </w:r>
    </w:p>
    <w:p w14:paraId="4050AF50" w14:textId="02CEBBA2" w:rsidR="00267AE0" w:rsidRDefault="00A549AF" w:rsidP="00E408A0">
      <w:r w:rsidRPr="00A549AF">
        <w:t xml:space="preserve">Table 1 presents summary statistics </w:t>
      </w:r>
      <w:r w:rsidR="00F3251F">
        <w:t>of the data</w:t>
      </w:r>
      <w:r w:rsidR="00E84AC4">
        <w:t>, which</w:t>
      </w:r>
      <w:r w:rsidR="00847725" w:rsidRPr="00847725">
        <w:t xml:space="preserve"> spans 1,877 counties and includes 62,987 observations</w:t>
      </w:r>
      <w:r w:rsidR="001E6595" w:rsidRPr="00C47481">
        <w:t xml:space="preserve">. </w:t>
      </w:r>
      <w:r w:rsidR="00E84AC4" w:rsidRPr="00E84AC4">
        <w:t xml:space="preserve">On average, counties have 15.34 thousand acres devoted to alfalfa cultivation, yielding a production output of 44.28 thousand tons. The average yield of alfalfa stands at 3.04 tons per acre, indicating a productive use of the land under typical conditions. </w:t>
      </w:r>
      <w:r w:rsidR="00267AE0" w:rsidRPr="00C47481">
        <w:t xml:space="preserve">Boxplot of the yield data shown in Figure </w:t>
      </w:r>
      <w:r w:rsidR="007751AF">
        <w:t>1</w:t>
      </w:r>
      <w:r w:rsidR="00267AE0" w:rsidRPr="00C47481">
        <w:t xml:space="preserve"> </w:t>
      </w:r>
      <w:r w:rsidR="00267AE0" w:rsidRPr="00C47481">
        <w:rPr>
          <w:rFonts w:eastAsiaTheme="minorEastAsia"/>
        </w:rPr>
        <w:t xml:space="preserve">panel </w:t>
      </w:r>
      <w:r w:rsidR="00F0197B">
        <w:rPr>
          <w:rFonts w:eastAsiaTheme="minorEastAsia"/>
        </w:rPr>
        <w:t>(</w:t>
      </w:r>
      <w:r w:rsidR="00F0197B">
        <w:t>a</w:t>
      </w:r>
      <w:r w:rsidR="00F0197B">
        <w:rPr>
          <w:rFonts w:eastAsiaTheme="minorEastAsia"/>
        </w:rPr>
        <w:t xml:space="preserve">) </w:t>
      </w:r>
      <w:r w:rsidR="00267AE0" w:rsidRPr="00C47481">
        <w:t xml:space="preserve">exhibits significant temporal and spatial variation. </w:t>
      </w:r>
      <w:r w:rsidR="00E84AC4" w:rsidRPr="00E84AC4">
        <w:t>Weather conditions during the</w:t>
      </w:r>
      <w:r w:rsidR="007D0E49">
        <w:t xml:space="preserve"> first seven months of the</w:t>
      </w:r>
      <w:r w:rsidR="00E84AC4" w:rsidRPr="00E84AC4">
        <w:t xml:space="preserve"> alfalfa growing season include an average precipitation of 19.11 inches. </w:t>
      </w:r>
      <w:r w:rsidR="007D0E49">
        <w:t>T</w:t>
      </w:r>
      <w:r w:rsidR="00E84AC4" w:rsidRPr="00E84AC4">
        <w:t xml:space="preserve">emperature accumulation, measured in degree-days, shows varied growing conditions: </w:t>
      </w:r>
      <w:r w:rsidR="00904B7A">
        <w:t>2</w:t>
      </w:r>
      <w:r w:rsidR="00E00531">
        <w:t>,</w:t>
      </w:r>
      <w:r w:rsidR="00904B7A">
        <w:t>029</w:t>
      </w:r>
      <w:r w:rsidR="00E00531">
        <w:t>.05</w:t>
      </w:r>
      <w:r w:rsidR="00E84AC4" w:rsidRPr="00E84AC4">
        <w:t xml:space="preserve"> degree-days are recorded below 1</w:t>
      </w:r>
      <w:r w:rsidR="00904B7A">
        <w:t>4</w:t>
      </w:r>
      <w:r w:rsidR="00E84AC4" w:rsidRPr="00E84AC4">
        <w:t xml:space="preserve">°C; </w:t>
      </w:r>
      <w:r w:rsidR="00E00531">
        <w:t>1,116.59</w:t>
      </w:r>
      <w:r w:rsidR="00E84AC4" w:rsidRPr="00E84AC4">
        <w:t xml:space="preserve"> degree-days between 1</w:t>
      </w:r>
      <w:r w:rsidR="00904B7A">
        <w:t>4</w:t>
      </w:r>
      <w:r w:rsidR="00E84AC4" w:rsidRPr="00E84AC4">
        <w:t>°C and 29°C, an optimal range for alfalfa</w:t>
      </w:r>
      <w:r w:rsidR="004A54BF">
        <w:t xml:space="preserve"> (as shown in section 3)</w:t>
      </w:r>
      <w:r w:rsidR="00E84AC4" w:rsidRPr="00E84AC4">
        <w:t>; and only 23.51 degree-days above 29°C, indicating exposure to heat that could stress the plants.</w:t>
      </w:r>
      <w:r w:rsidR="00267AE0">
        <w:t xml:space="preserve"> </w:t>
      </w:r>
      <w:r w:rsidR="00267AE0" w:rsidRPr="00C47481">
        <w:t xml:space="preserve">Boxplots of all the weather variables are shown in Figure </w:t>
      </w:r>
      <w:r w:rsidR="0043471A">
        <w:t>1</w:t>
      </w:r>
      <w:r w:rsidR="00267AE0" w:rsidRPr="00C47481">
        <w:t xml:space="preserve"> </w:t>
      </w:r>
      <w:r w:rsidR="00267AE0" w:rsidRPr="00C47481">
        <w:rPr>
          <w:rFonts w:eastAsiaTheme="minorEastAsia"/>
        </w:rPr>
        <w:t xml:space="preserve">panels </w:t>
      </w:r>
      <w:r w:rsidR="00E1333F">
        <w:rPr>
          <w:rFonts w:eastAsiaTheme="minorEastAsia"/>
        </w:rPr>
        <w:t xml:space="preserve">(b) – (e) </w:t>
      </w:r>
      <w:r w:rsidR="00267AE0" w:rsidRPr="00C47481">
        <w:t xml:space="preserve">and they exhibit significant temporal and spatial variations. </w:t>
      </w:r>
    </w:p>
    <w:p w14:paraId="1D63029C" w14:textId="721DD953" w:rsidR="000C4BC9" w:rsidRDefault="003945C5" w:rsidP="00E408A0">
      <w:r>
        <w:t xml:space="preserve">Figure </w:t>
      </w:r>
      <w:r w:rsidR="00613859">
        <w:t>2</w:t>
      </w:r>
      <w:r>
        <w:t xml:space="preserve">, panels </w:t>
      </w:r>
      <w:r w:rsidR="00C323FE">
        <w:t>(a)</w:t>
      </w:r>
      <w:r>
        <w:t>-</w:t>
      </w:r>
      <w:r w:rsidR="00C323FE">
        <w:t>(c)</w:t>
      </w:r>
      <w:r>
        <w:t xml:space="preserve">, depicts the spatial distribution of county-level alfalfa </w:t>
      </w:r>
      <w:r w:rsidR="00F253A8">
        <w:t xml:space="preserve">production metrics </w:t>
      </w:r>
      <w:r>
        <w:t xml:space="preserve">and </w:t>
      </w:r>
      <w:r w:rsidR="00954016">
        <w:t>cattle</w:t>
      </w:r>
      <w:r w:rsidR="00F253A8">
        <w:t xml:space="preserve"> inventory</w:t>
      </w:r>
      <w:r>
        <w:t xml:space="preserve"> across the US, focusing on the period from 2002 to 2022. To enhance the spatial coverage, we incorporated missing county-level data from the US agricultural censuses </w:t>
      </w:r>
      <w:r>
        <w:lastRenderedPageBreak/>
        <w:t>conducted in 2002, 2007, 2017, and 2022.</w:t>
      </w:r>
      <w:r w:rsidR="0056741B">
        <w:t xml:space="preserve"> </w:t>
      </w:r>
      <w:r w:rsidR="00B22F6E" w:rsidRPr="00B22F6E">
        <w:t>Alfalfa production is dominated by Western U.S., where counties report exceptionally high average yield of 3.42 tons per acre on an average of 18.71 thousand acres per county</w:t>
      </w:r>
      <w:r w:rsidR="002216FF" w:rsidRPr="002216FF">
        <w:t>.</w:t>
      </w:r>
      <w:r w:rsidR="002216FF">
        <w:t xml:space="preserve"> K</w:t>
      </w:r>
      <w:r w:rsidR="00B2238E" w:rsidRPr="00B2238E">
        <w:t>ey contributors exhibit</w:t>
      </w:r>
      <w:r w:rsidR="000203E8">
        <w:t>ing</w:t>
      </w:r>
      <w:r w:rsidR="00B2238E" w:rsidRPr="00B2238E">
        <w:t xml:space="preserve"> significant alfalfa </w:t>
      </w:r>
      <w:r w:rsidR="000203E8">
        <w:t>(</w:t>
      </w:r>
      <w:r w:rsidR="007C6B05">
        <w:t>a</w:t>
      </w:r>
      <w:r w:rsidR="00B2238E">
        <w:t xml:space="preserve">rea </w:t>
      </w:r>
      <w:r w:rsidR="000203E8">
        <w:t>[</w:t>
      </w:r>
      <w:r w:rsidR="00B2238E">
        <w:t>1000 acres</w:t>
      </w:r>
      <w:r w:rsidR="000203E8">
        <w:t>]</w:t>
      </w:r>
      <w:r w:rsidR="00B2238E">
        <w:t xml:space="preserve">, production </w:t>
      </w:r>
      <w:r w:rsidR="000203E8">
        <w:t>[</w:t>
      </w:r>
      <w:r w:rsidR="00B2238E">
        <w:t>1000 tons</w:t>
      </w:r>
      <w:r w:rsidR="000203E8">
        <w:t>]</w:t>
      </w:r>
      <w:r w:rsidR="00B2238E">
        <w:t xml:space="preserve">, yield </w:t>
      </w:r>
      <w:r w:rsidR="000203E8">
        <w:t>[</w:t>
      </w:r>
      <w:r w:rsidR="00B2238E">
        <w:t>tons per acre</w:t>
      </w:r>
      <w:r w:rsidR="000203E8">
        <w:t>])</w:t>
      </w:r>
      <w:r w:rsidR="00B2238E">
        <w:t xml:space="preserve"> </w:t>
      </w:r>
      <w:r w:rsidR="000203E8" w:rsidRPr="00B2238E">
        <w:t>include</w:t>
      </w:r>
      <w:r w:rsidR="00B2238E" w:rsidRPr="00B2238E">
        <w:t xml:space="preserve"> </w:t>
      </w:r>
      <w:r w:rsidR="004E1D41" w:rsidRPr="001A36AC">
        <w:t xml:space="preserve">Arizona (20.02, 154.68, 6.23), California (21.24, 140.37, 5.27), Idaho (24.39, 95.48, 3.39), Nevada (17.07, 73.52, 4.37), </w:t>
      </w:r>
      <w:r w:rsidR="00347E6E">
        <w:t xml:space="preserve">and </w:t>
      </w:r>
      <w:r w:rsidR="004E1D41" w:rsidRPr="001A36AC">
        <w:t>Utah (18.23, 70.06, 3.52)</w:t>
      </w:r>
      <w:r w:rsidR="00B2238E" w:rsidRPr="00B2238E">
        <w:t>.</w:t>
      </w:r>
      <w:r w:rsidR="007C6B05">
        <w:t xml:space="preserve"> </w:t>
      </w:r>
      <w:r w:rsidR="007D6CA7" w:rsidRPr="00B22F6E">
        <w:t>Western</w:t>
      </w:r>
      <w:r w:rsidR="007D6CA7">
        <w:t xml:space="preserve"> counties are followed by those in the Midwest, </w:t>
      </w:r>
      <w:r w:rsidR="007D6CA7" w:rsidRPr="00B22F6E">
        <w:t xml:space="preserve">where </w:t>
      </w:r>
      <w:r w:rsidR="007D6CA7">
        <w:t>mean county yield is estimated at</w:t>
      </w:r>
      <w:r w:rsidR="007D6CA7" w:rsidRPr="00B22F6E">
        <w:t xml:space="preserve"> </w:t>
      </w:r>
      <w:r w:rsidR="00F523FF" w:rsidRPr="00F523FF">
        <w:t>2.82</w:t>
      </w:r>
      <w:r w:rsidR="00F523FF">
        <w:t xml:space="preserve"> </w:t>
      </w:r>
      <w:r w:rsidR="007D6CA7" w:rsidRPr="00B22F6E">
        <w:t xml:space="preserve">tons per acre on an average of </w:t>
      </w:r>
      <w:r w:rsidR="00F523FF">
        <w:t>9.93</w:t>
      </w:r>
      <w:r w:rsidR="007D6CA7" w:rsidRPr="00B22F6E">
        <w:t xml:space="preserve"> thousand acres per county</w:t>
      </w:r>
      <w:r w:rsidR="007D6CA7" w:rsidRPr="002216FF">
        <w:t>.</w:t>
      </w:r>
      <w:r w:rsidR="00834759">
        <w:t xml:space="preserve"> Leading Midwestern states include </w:t>
      </w:r>
      <w:r w:rsidR="00AC4966" w:rsidRPr="00AC4966">
        <w:t>South Dakota (30.02, 54.24, 2.07), Wisconsin (18.36, 49.8, 2.61), North Dakota (27.71, 45.05, 1.89), Nebraska (11.61, 38</w:t>
      </w:r>
      <w:r w:rsidR="00A170BF">
        <w:t>.00</w:t>
      </w:r>
      <w:r w:rsidR="00AC4966" w:rsidRPr="00AC4966">
        <w:t xml:space="preserve">, 3.45), </w:t>
      </w:r>
      <w:r w:rsidR="00AC4966">
        <w:t xml:space="preserve">and </w:t>
      </w:r>
      <w:r w:rsidR="00AC4966" w:rsidRPr="00AC4966">
        <w:t>Minnesota (11.32, 32.32, 2.93)</w:t>
      </w:r>
      <w:r w:rsidR="00AC4966">
        <w:t xml:space="preserve">. </w:t>
      </w:r>
      <w:r w:rsidR="000203E8">
        <w:t>At the low end,</w:t>
      </w:r>
      <w:r w:rsidR="000C4BC9">
        <w:t xml:space="preserve"> Southern counties exhibit much smaller alfalfa areas averaging about </w:t>
      </w:r>
      <w:r w:rsidR="00771739" w:rsidRPr="00771739">
        <w:t>0.95</w:t>
      </w:r>
      <w:r w:rsidR="00771739">
        <w:t xml:space="preserve"> thousand</w:t>
      </w:r>
      <w:r w:rsidR="000C4BC9">
        <w:t xml:space="preserve"> acres per county, with yields </w:t>
      </w:r>
      <w:r w:rsidR="00D30930">
        <w:t>averaging</w:t>
      </w:r>
      <w:r w:rsidR="000C4BC9">
        <w:t xml:space="preserve"> </w:t>
      </w:r>
      <w:r w:rsidR="00FA2EE6">
        <w:t xml:space="preserve">only </w:t>
      </w:r>
      <w:r w:rsidR="00273BA4">
        <w:t>2.33</w:t>
      </w:r>
      <w:r w:rsidR="000C4BC9">
        <w:t xml:space="preserve"> tons per acre. </w:t>
      </w:r>
      <w:r w:rsidR="00D30930">
        <w:t xml:space="preserve">The lowest performing Southern counties are found in </w:t>
      </w:r>
      <w:r w:rsidR="00EB13E5" w:rsidRPr="00EB13E5">
        <w:t xml:space="preserve">Mississippi (0.08, 0.19, 2.02), South Carolina (0.11, 0.27, 2.23), Georgia (0.23, 0.45, 2.27), Louisiana (0.22, 0.49, 2.04), </w:t>
      </w:r>
      <w:r w:rsidR="000203E8">
        <w:t xml:space="preserve">and </w:t>
      </w:r>
      <w:r w:rsidR="00EB13E5" w:rsidRPr="00EB13E5">
        <w:t>North Carolina (0.24, 0.54, 2.14)</w:t>
      </w:r>
      <w:r w:rsidR="00EB13E5">
        <w:t xml:space="preserve">. </w:t>
      </w:r>
    </w:p>
    <w:p w14:paraId="45D7FACD" w14:textId="28247A99" w:rsidR="00762DED" w:rsidRDefault="00762DED" w:rsidP="00E408A0">
      <w:r w:rsidRPr="00762DED">
        <w:t xml:space="preserve">The correlation between alfalfa production and livestock density, particularly in cattle farming, reveals a strategic alignment within the agricultural landscape that emphasizes the importance of forage management. With a significant correlation of 0.53 between county-level </w:t>
      </w:r>
      <w:r w:rsidR="00FE25CE" w:rsidRPr="00762DED">
        <w:t xml:space="preserve">cattle </w:t>
      </w:r>
      <w:r w:rsidRPr="00762DED">
        <w:t xml:space="preserve">inventory and alfalfa production, regions with abundant alfalfa tend to have higher cattle production. However, the correlation of 0.32 with alfalfa yield suggests that while the presence of alfalfa is essential, the highest yields are not necessarily required for successful cattle operations. This indicates that cattle farming is optimized more for the availability of sufficient forage rather than achieving maximum yield per acre. Moreover, the strategic alignment of alfalfa production with local economic and climatic conditions is becoming increasingly crucial as global warming introduces new challenges. Shifts in weather patterns could alter precipitation levels and increase </w:t>
      </w:r>
      <w:r w:rsidRPr="00762DED">
        <w:lastRenderedPageBreak/>
        <w:t xml:space="preserve">temperatures, potentially disrupting alfalfa </w:t>
      </w:r>
      <w:r w:rsidR="00FE25CE">
        <w:t>availability</w:t>
      </w:r>
      <w:r w:rsidRPr="00762DED">
        <w:t xml:space="preserve"> and directly impacting the livestock sector reliant on this crop for feed. Consequently, a decline in alfalfa </w:t>
      </w:r>
      <w:r w:rsidR="00652D47">
        <w:t>availability</w:t>
      </w:r>
      <w:r w:rsidR="00652D47" w:rsidRPr="00762DED">
        <w:t xml:space="preserve"> </w:t>
      </w:r>
      <w:r w:rsidRPr="00762DED">
        <w:t xml:space="preserve">could escalate feed costs or necessitate reductions in herd sizes, significantly affecting the agricultural economy. This underscores the critical need for adaptive forage </w:t>
      </w:r>
      <w:r w:rsidR="00652D47">
        <w:t xml:space="preserve">production and </w:t>
      </w:r>
      <w:r w:rsidRPr="00762DED">
        <w:t>management strategies to maintain robust cattle farming operations in the face of climatic changes.</w:t>
      </w:r>
    </w:p>
    <w:p w14:paraId="5B4B5574" w14:textId="1B0D22CB" w:rsidR="0056741B" w:rsidRDefault="00652D47" w:rsidP="00E408A0">
      <w:r>
        <w:t>In what follows, we</w:t>
      </w:r>
      <w:r w:rsidR="004F0986" w:rsidRPr="004F0986">
        <w:t xml:space="preserve"> ascertain the potential shifts in alfalfa </w:t>
      </w:r>
      <w:r w:rsidR="004F0986">
        <w:t>availability</w:t>
      </w:r>
      <w:r w:rsidR="004F0986" w:rsidRPr="004F0986">
        <w:t xml:space="preserve"> induced by warming, aiming to identify </w:t>
      </w:r>
      <w:r w:rsidR="00CA3630">
        <w:t xml:space="preserve">geographical </w:t>
      </w:r>
      <w:r w:rsidR="004F0986" w:rsidRPr="004F0986">
        <w:t xml:space="preserve">adaptive strategies that can sustain </w:t>
      </w:r>
      <w:r w:rsidR="00267AE0" w:rsidRPr="00A35938">
        <w:t xml:space="preserve">alfalfa </w:t>
      </w:r>
      <w:r w:rsidR="00267AE0">
        <w:t xml:space="preserve">and </w:t>
      </w:r>
      <w:r w:rsidR="00267AE0" w:rsidRPr="00A35938">
        <w:t xml:space="preserve">livestock </w:t>
      </w:r>
      <w:r w:rsidR="00267AE0">
        <w:t>production</w:t>
      </w:r>
      <w:r w:rsidR="004F0986" w:rsidRPr="004F0986">
        <w:t xml:space="preserve"> in the face of these challenges.</w:t>
      </w:r>
    </w:p>
    <w:p w14:paraId="1BFB90AB" w14:textId="6395F36B" w:rsidR="00A1269F" w:rsidRDefault="00382D81" w:rsidP="00E408A0">
      <w:pPr>
        <w:pStyle w:val="Heading1"/>
      </w:pPr>
      <w:r>
        <w:t xml:space="preserve">3. </w:t>
      </w:r>
      <w:r w:rsidR="00442E0D" w:rsidRPr="00255CB8">
        <w:t>M</w:t>
      </w:r>
      <w:r w:rsidR="00A1269F" w:rsidRPr="00255CB8">
        <w:t>ethods</w:t>
      </w:r>
    </w:p>
    <w:p w14:paraId="71F32C76" w14:textId="018E78ED" w:rsidR="007179B6" w:rsidRDefault="007179B6" w:rsidP="008C6FEE">
      <w:r w:rsidRPr="007179B6">
        <w:t xml:space="preserve">Our methodology consists of three stages. Initially, we develop a novel metric to measure alfalfa availability and analyze its </w:t>
      </w:r>
      <w:r w:rsidR="00D76E5D">
        <w:t>association</w:t>
      </w:r>
      <w:r w:rsidRPr="007179B6">
        <w:t xml:space="preserve"> with cattle inventories specific to different locations. In the second stage, we estimate the effects of rising temperatures on alfalfa yields. This information is then used to evaluate the potential impacts on alfalfa availability and subsequently, on cattle inventories.</w:t>
      </w:r>
    </w:p>
    <w:p w14:paraId="321D5A4A" w14:textId="10476FBB" w:rsidR="008C6FEE" w:rsidRPr="008C6FEE" w:rsidRDefault="00846DAA" w:rsidP="00846DAA">
      <w:pPr>
        <w:pStyle w:val="Heading2"/>
      </w:pPr>
      <w:r>
        <w:t>3.1 A metric for alfalfa availability</w:t>
      </w:r>
    </w:p>
    <w:p w14:paraId="083D7FF8" w14:textId="76C5BF7F" w:rsidR="00677063" w:rsidRDefault="0082291D" w:rsidP="00E408A0">
      <w:r>
        <w:t>We</w:t>
      </w:r>
      <w:r w:rsidR="00677063">
        <w:t xml:space="preserve"> define a metric for alfalfa availability that combines the local production of alfalfa in a county with the average production from nearby counties. For each county (</w:t>
      </w:r>
      <m:oMath>
        <m:r>
          <w:rPr>
            <w:rFonts w:ascii="Cambria Math" w:hAnsi="Cambria Math"/>
          </w:rPr>
          <m:t>i</m:t>
        </m:r>
      </m:oMath>
      <w:r w:rsidR="00677063">
        <w:t>), local alfalfa production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77063">
        <w:t>) is calculated as the mean production level from 2002 to 2022, as presented in Figure 2, Panel B. The production from surrounding counties is determined by a spatially weighted average of these local production values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77063">
        <w:t>), where the weights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677063">
        <w:t xml:space="preserve">) are defined by a specific kernel function. Specifically, for </w:t>
      </w:r>
      <w:r w:rsidR="00677063" w:rsidRPr="00677063">
        <w:rPr>
          <w:i/>
          <w:iCs/>
        </w:rPr>
        <w:t>i</w:t>
      </w:r>
      <w:r w:rsidR="00677063" w:rsidRPr="00677063">
        <w:rPr>
          <w:vertAlign w:val="superscript"/>
        </w:rPr>
        <w:t>th</w:t>
      </w:r>
      <w:r w:rsidR="00677063">
        <w:t xml:space="preserve"> county, the estimate of nearby alfalfa production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rsidR="00677063">
        <w:t>) is given by:</w:t>
      </w:r>
    </w:p>
    <w:p w14:paraId="15BE6CF3" w14:textId="46129127" w:rsidR="00677063" w:rsidRDefault="00677063" w:rsidP="00E408A0">
      <m:oMath>
        <m:r>
          <w:rPr>
            <w:rFonts w:ascii="Cambria Math" w:hAnsi="Cambria Math"/>
          </w:rPr>
          <w:lastRenderedPageBreak/>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limLoc m:val="undOvr"/>
                <m:supHide m:val="1"/>
                <m:ctrlPr>
                  <w:rPr>
                    <w:rFonts w:ascii="Cambria Math" w:hAnsi="Cambria Math"/>
                    <w:i/>
                  </w:rPr>
                </m:ctrlPr>
              </m:naryPr>
              <m:sub>
                <m:r>
                  <w:rPr>
                    <w:rFonts w:ascii="Cambria Math" w:hAnsi="Cambria Math"/>
                  </w:rPr>
                  <m:t>j∈I,j≠i</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nary>
          <m:naryPr>
            <m:chr m:val="∑"/>
            <m:limLoc m:val="undOvr"/>
            <m:supHide m:val="1"/>
            <m:ctrlPr>
              <w:rPr>
                <w:rFonts w:ascii="Cambria Math" w:hAnsi="Cambria Math"/>
                <w:i/>
              </w:rPr>
            </m:ctrlPr>
          </m:naryPr>
          <m:sub>
            <m:r>
              <w:rPr>
                <w:rFonts w:ascii="Cambria Math" w:hAnsi="Cambria Math"/>
              </w:rPr>
              <m:t>j∈I,j≠i</m:t>
            </m:r>
          </m:sub>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j</m:t>
                </m:r>
              </m:sub>
            </m:sSub>
          </m:e>
        </m:nary>
      </m:oMath>
      <w:r>
        <w:rPr>
          <w:rFonts w:eastAsiaTheme="minorEastAsia"/>
        </w:rPr>
        <w:t xml:space="preserve"> </w:t>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0D6E9B">
        <w:rPr>
          <w:rFonts w:eastAsiaTheme="minorEastAsia"/>
        </w:rPr>
        <w:tab/>
      </w:r>
      <w:r w:rsidR="000D6E9B">
        <w:rPr>
          <w:rFonts w:eastAsiaTheme="minorEastAsia"/>
        </w:rPr>
        <w:tab/>
      </w:r>
      <w:r w:rsidR="001841AC" w:rsidRPr="00C47481">
        <w:rPr>
          <w:rFonts w:eastAsiaTheme="minorEastAsia"/>
        </w:rPr>
        <w:t>(</w:t>
      </w:r>
      <w:r w:rsidR="001841AC">
        <w:rPr>
          <w:rFonts w:eastAsiaTheme="minorEastAsia"/>
        </w:rPr>
        <w:t>1</w:t>
      </w:r>
      <w:r w:rsidR="001841AC" w:rsidRPr="00C47481">
        <w:rPr>
          <w:rFonts w:eastAsiaTheme="minorEastAsia"/>
        </w:rPr>
        <w:t>)</w:t>
      </w:r>
    </w:p>
    <w:p w14:paraId="7AE95DFB" w14:textId="55C769BD" w:rsidR="00FF62D7" w:rsidRDefault="00CD0305" w:rsidP="00E408A0">
      <w:r>
        <w:t>The</w:t>
      </w:r>
      <w:r w:rsidR="004F24A9">
        <w:t xml:space="preserve"> weight matrix was computed as  </w:t>
      </w:r>
    </w:p>
    <w:p w14:paraId="654A03F5" w14:textId="127BC2C4" w:rsidR="004F24A9" w:rsidRPr="001841AC" w:rsidRDefault="00AE6C2A" w:rsidP="00E408A0">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w:rPr>
                      <w:rFonts w:ascii="Cambria Math" w:hAnsi="Cambria Math"/>
                    </w:rPr>
                    <m:t>if</m:t>
                  </m:r>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r>
                    <m:rPr>
                      <m:sty m:val="p"/>
                    </m:rPr>
                    <w:rPr>
                      <w:rFonts w:ascii="Cambria Math" w:hAnsi="Cambria Math"/>
                    </w:rPr>
                    <m:t>&lt;</m:t>
                  </m:r>
                  <m:r>
                    <w:rPr>
                      <w:rFonts w:ascii="Cambria Math" w:hAnsi="Cambria Math"/>
                    </w:rPr>
                    <m:t>b</m:t>
                  </m:r>
                </m:e>
              </m:mr>
              <m:mr>
                <m:e>
                  <m:r>
                    <m:rPr>
                      <m:sty m:val="p"/>
                    </m:rPr>
                    <w:rPr>
                      <w:rFonts w:ascii="Cambria Math" w:hAnsi="Cambria Math"/>
                    </w:rPr>
                    <m:t>0</m:t>
                  </m:r>
                </m:e>
                <m:e>
                  <m:r>
                    <w:rPr>
                      <w:rFonts w:ascii="Cambria Math" w:hAnsi="Cambria Math"/>
                    </w:rPr>
                    <m:t>otherwise</m:t>
                  </m:r>
                </m:e>
              </m:mr>
            </m:m>
          </m:e>
        </m:d>
      </m:oMath>
      <w:r w:rsidR="004F24A9">
        <w:rPr>
          <w:rFonts w:eastAsiaTheme="minorEastAsia"/>
        </w:rPr>
        <w:t xml:space="preserve"> </w:t>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1841AC">
        <w:rPr>
          <w:rFonts w:eastAsiaTheme="minorEastAsia"/>
        </w:rPr>
        <w:tab/>
      </w:r>
      <w:r w:rsidR="000D6E9B">
        <w:rPr>
          <w:rFonts w:eastAsiaTheme="minorEastAsia"/>
        </w:rPr>
        <w:tab/>
      </w:r>
      <w:r w:rsidR="001841AC" w:rsidRPr="00C47481">
        <w:rPr>
          <w:rFonts w:eastAsiaTheme="minorEastAsia"/>
        </w:rPr>
        <w:t>(</w:t>
      </w:r>
      <w:r w:rsidR="0062589E">
        <w:rPr>
          <w:rFonts w:eastAsiaTheme="minorEastAsia"/>
        </w:rPr>
        <w:t>2</w:t>
      </w:r>
      <w:r w:rsidR="001841AC" w:rsidRPr="00C47481">
        <w:rPr>
          <w:rFonts w:eastAsiaTheme="minorEastAsia"/>
        </w:rPr>
        <w:t>)</w:t>
      </w:r>
    </w:p>
    <w:p w14:paraId="7271DA37" w14:textId="189188CC" w:rsidR="00BA70C1" w:rsidRDefault="00BA70C1" w:rsidP="00E408A0">
      <w:pPr>
        <w:rPr>
          <w:rFonts w:eastAsiaTheme="minorEastAsia"/>
        </w:rPr>
      </w:pPr>
      <w:r w:rsidRPr="00BA70C1">
        <w:rPr>
          <w:rFonts w:eastAsiaTheme="minorEastAsia"/>
        </w:rPr>
        <w:t>Here,</w:t>
      </w:r>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w:t>
      </w:r>
      <w:r w:rsidR="009A420F" w:rsidRPr="009A420F">
        <w:rPr>
          <w:rFonts w:eastAsiaTheme="minorEastAsia"/>
        </w:rPr>
        <w:t>denotes the Euclidean distance between counties</w:t>
      </w:r>
      <w:r w:rsidR="009A420F">
        <w:rPr>
          <w:rFonts w:eastAsiaTheme="minorEastAsia"/>
        </w:rPr>
        <w:t xml:space="preserve"> </w:t>
      </w:r>
      <m:oMath>
        <m:r>
          <w:rPr>
            <w:rFonts w:ascii="Cambria Math" w:eastAsiaTheme="minorEastAsia" w:hAnsi="Cambria Math"/>
          </w:rPr>
          <m:t>i</m:t>
        </m:r>
      </m:oMath>
      <w:r w:rsidR="009A420F" w:rsidRPr="00DE1DE2">
        <w:rPr>
          <w:rFonts w:eastAsiaTheme="minorEastAsia"/>
        </w:rPr>
        <w:t xml:space="preserve"> and </w:t>
      </w:r>
      <m:oMath>
        <m:r>
          <w:rPr>
            <w:rFonts w:ascii="Cambria Math" w:hAnsi="Cambria Math"/>
          </w:rPr>
          <m:t>j</m:t>
        </m:r>
      </m:oMath>
      <w:r w:rsidR="009A420F">
        <w:t xml:space="preserve">, </w:t>
      </w:r>
      <w:r w:rsidR="009A420F">
        <w:rPr>
          <w:rFonts w:eastAsiaTheme="minorEastAsia"/>
        </w:rPr>
        <w:t xml:space="preserve">and </w:t>
      </w:r>
      <m:oMath>
        <m:r>
          <w:rPr>
            <w:rFonts w:ascii="Cambria Math" w:hAnsi="Cambria Math"/>
          </w:rPr>
          <m:t>b</m:t>
        </m:r>
      </m:oMath>
      <w:r w:rsidR="009A420F" w:rsidRPr="009A420F">
        <w:rPr>
          <w:rFonts w:eastAsiaTheme="minorEastAsia"/>
        </w:rPr>
        <w:t xml:space="preserve"> represents the bandwidth. </w:t>
      </w:r>
      <w:r w:rsidR="00CF1982" w:rsidRPr="00BE3705">
        <w:t xml:space="preserve">The bandwidth </w:t>
      </w:r>
      <w:r w:rsidR="00CF1982">
        <w:t>was</w:t>
      </w:r>
      <w:r w:rsidR="00CF1982" w:rsidRPr="00BE3705">
        <w:t xml:space="preserve"> determined via cross-validation </w:t>
      </w:r>
      <w:r w:rsidR="00CF1982">
        <w:fldChar w:fldCharType="begin" w:fldLock="1"/>
      </w:r>
      <w:r w:rsidR="00CF1982">
        <w:instrText>ADDIN CSL_CITATION {"citationItems":[{"id":"ITEM-1","itemData":{"DOI":"10.1080/10095020.2014.917453","ISSN":"10095020","abstract":"Spatial statistics is a growing discipline providing important analytical techniques in a wide range of disciplines in the natural and social sciences. In the R package GWmodel, we introduce techniques from a particular branch of spatial statistics, termed geographically weighted (GW) models. GW models suit situations when data are not described well by some global model, but where there are spatial regions where a suitably localised calibration provides a better description. The approach uses a moving window weighting technique, where localised models are found at target locations. Outputs are mapped to provide a useful exploratory tool into the nature of the data spatial heterogeneity. GWmodel includes: GW summary statistics, GW principal components analysis, GW regression, GW regression with a local ridge compensation, and GW regression for prediction; some of which are provided in basic and robust forms.","author":[{"dropping-particle":"","family":"Lu","given":"Binbin","non-dropping-particle":"","parse-names":false,"suffix":""},{"dropping-particle":"","family":"Harris","given":"Paul","non-dropping-particle":"","parse-names":false,"suffix":""},{"dropping-particle":"","family":"Charlton","given":"Martin","non-dropping-particle":"","parse-names":false,"suffix":""},{"dropping-particle":"","family":"Brunsdon","given":"Chris","non-dropping-particle":"","parse-names":false,"suffix":""}],"container-title":"Geo-Spatial Information Science","id":"ITEM-1","issued":{"date-parts":[["2014"]]},"title":"The GWmodel R package: Further topics for exploring spatial heterogeneity using geographically weighted models","type":"article-journal"},"uris":["http://www.mendeley.com/documents/?uuid=c5ebddd6-5a3d-413b-9d7b-b2ae5d80d82c","http://www.mendeley.com/documents/?uuid=742cbd78-4867-4593-8d27-b18b7858ab26"]},{"id":"ITEM-2","itemData":{"DOI":"10.18637/jss.v063.i17","abstract":"Spatial statistics is a growing discipline providing important analytical techniques in a wide range of disciplines in the natural and social sciences. In the R package GWmodel, we introduce techniques from a particular branch of spatial statistics, termed geographically weighted (GW) models. GW models suit situations when data are not described well by some global model, but where there are spatial regions where a suitably localised calibration provides a better description. The approach uses a moving window weighting technique, where localised models are found at target locations. Outputs are mapped to provide a useful exploratory tool into the nature of the data spatial heterogeneity. GWmodel includes: GW summary statistics, GW principal components analysis, GW regression, GW regression with a local ridge compensation, and GW regression for prediction; some of which are provided in basic and robust forms.","author":[{"dropping-particle":"","family":"Gollini","given":"Isabella","non-dropping-particle":"","parse-names":false,"suffix":""},{"dropping-particle":"","family":"Lu","given":"Binbin","non-dropping-particle":"","parse-names":false,"suffix":""},{"dropping-particle":"","family":"Charlton","given":"Martin","non-dropping-particle":"","parse-names":false,"suffix":""},{"dropping-particle":"","family":"Brunsdon","given":"Christopher","non-dropping-particle":"","parse-names":false,"suffix":""},{"dropping-particle":"","family":"Harris","given":"Paul","non-dropping-particle":"","parse-names":false,"suffix":""}],"container-title":"Journal of Statistical Software","id":"ITEM-2","issued":{"date-parts":[["2015"]]},"title":"GWmodel : An R Package for Exploring Spatial Heterogeneity Using Geographically Weighted Models ","type":"article-journal"},"uris":["http://www.mendeley.com/documents/?uuid=f05f7002-ea97-4ae1-8cbe-783bafb0d85e","http://www.mendeley.com/documents/?uuid=6ade91d4-04b5-4718-b87c-a8ceb7258acf"]}],"mendeley":{"formattedCitation":"(Lu et al. 2014; Gollini et al. 2015)","plainTextFormattedCitation":"(Lu et al. 2014; Gollini et al. 2015)","previouslyFormattedCitation":"(Lu et al. 2014; Gollini et al. 2015)"},"properties":{"noteIndex":0},"schema":"https://github.com/citation-style-language/schema/raw/master/csl-citation.json"}</w:instrText>
      </w:r>
      <w:r w:rsidR="00CF1982">
        <w:fldChar w:fldCharType="separate"/>
      </w:r>
      <w:r w:rsidR="00CF1982" w:rsidRPr="003B5395">
        <w:rPr>
          <w:noProof/>
        </w:rPr>
        <w:t>(Lu et al. 2014; Gollini et al. 2015)</w:t>
      </w:r>
      <w:r w:rsidR="00CF1982">
        <w:fldChar w:fldCharType="end"/>
      </w:r>
      <w:r w:rsidR="009A420F" w:rsidRPr="009A420F">
        <w:rPr>
          <w:rFonts w:eastAsiaTheme="minorEastAsia"/>
        </w:rPr>
        <w:t xml:space="preserve">. The weights assigned to county </w:t>
      </w:r>
      <m:oMath>
        <m:r>
          <w:rPr>
            <w:rFonts w:ascii="Cambria Math" w:hAnsi="Cambria Math"/>
          </w:rPr>
          <m:t>j</m:t>
        </m:r>
      </m:oMath>
      <w:r w:rsidR="009A420F" w:rsidRPr="009A420F">
        <w:rPr>
          <w:rFonts w:eastAsiaTheme="minorEastAsia"/>
        </w:rPr>
        <w:t xml:space="preserve"> are set to one if the county falls within the distance </w:t>
      </w:r>
      <m:oMath>
        <m:r>
          <w:rPr>
            <w:rFonts w:ascii="Cambria Math" w:hAnsi="Cambria Math"/>
          </w:rPr>
          <m:t>b</m:t>
        </m:r>
      </m:oMath>
      <w:r w:rsidR="00CD0305" w:rsidRPr="009A420F">
        <w:rPr>
          <w:rFonts w:eastAsiaTheme="minorEastAsia"/>
        </w:rPr>
        <w:t xml:space="preserve"> </w:t>
      </w:r>
      <w:r w:rsidR="009A420F" w:rsidRPr="009A420F">
        <w:rPr>
          <w:rFonts w:eastAsiaTheme="minorEastAsia"/>
        </w:rPr>
        <w:t xml:space="preserve">from county </w:t>
      </w:r>
      <m:oMath>
        <m:r>
          <w:rPr>
            <w:rFonts w:ascii="Cambria Math" w:eastAsiaTheme="minorEastAsia" w:hAnsi="Cambria Math"/>
          </w:rPr>
          <m:t>i</m:t>
        </m:r>
      </m:oMath>
      <w:r w:rsidR="009A420F" w:rsidRPr="009A420F">
        <w:rPr>
          <w:rFonts w:eastAsiaTheme="minorEastAsia"/>
        </w:rPr>
        <w:t xml:space="preserve">, and zero otherwise. This method offers computational efficiency by including only observations within the specified bandwidth. However, it also faces discontinuity challenges, as the estimated </w:t>
      </w:r>
      <w:r w:rsidR="000822A0">
        <w:rPr>
          <w:rFonts w:eastAsiaTheme="minorEastAsia"/>
        </w:rPr>
        <w:t>nearby production</w:t>
      </w:r>
      <w:r w:rsidR="009A420F" w:rsidRPr="009A420F">
        <w:rPr>
          <w:rFonts w:eastAsiaTheme="minorEastAsia"/>
        </w:rPr>
        <w:t xml:space="preserve"> can change drastically when the point of estimation shifts. As we will demonstrate later, integrating alternative methods less prone to these discontinuity issues does not significantly alter our conclusions.</w:t>
      </w:r>
      <w:r w:rsidR="00665087">
        <w:rPr>
          <w:rFonts w:eastAsiaTheme="minorEastAsia"/>
        </w:rPr>
        <w:t xml:space="preserve"> The final value of </w:t>
      </w:r>
      <w:r w:rsidR="00665087" w:rsidRPr="00103F57">
        <w:rPr>
          <w:rFonts w:eastAsiaTheme="minorEastAsia"/>
        </w:rPr>
        <w:t>alfalfa availability</w:t>
      </w:r>
      <w:r w:rsidR="00665087">
        <w:rPr>
          <w:rFonts w:eastAsiaTheme="minorEastAsia"/>
        </w:rPr>
        <w:t xml:space="preserve"> for a given county is calculated as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oMath>
      <w:r w:rsidR="00665087">
        <w:rPr>
          <w:rFonts w:eastAsiaTheme="minorEastAsia"/>
        </w:rPr>
        <w:t>.</w:t>
      </w:r>
    </w:p>
    <w:p w14:paraId="616CA3AB" w14:textId="640516E2" w:rsidR="00103F57" w:rsidRDefault="00103F57" w:rsidP="00E408A0">
      <w:pPr>
        <w:rPr>
          <w:rFonts w:eastAsiaTheme="minorEastAsia"/>
        </w:rPr>
      </w:pPr>
      <w:r w:rsidRPr="00103F57">
        <w:rPr>
          <w:rFonts w:eastAsiaTheme="minorEastAsia"/>
        </w:rPr>
        <w:t>For each county, the relationship between alfalfa availability (</w:t>
      </w:r>
      <m:oMath>
        <m:r>
          <w:rPr>
            <w:rFonts w:ascii="Cambria Math" w:hAnsi="Cambria Math"/>
          </w:rPr>
          <m:t>X</m:t>
        </m:r>
      </m:oMath>
      <w:r w:rsidRPr="00103F57">
        <w:rPr>
          <w:rFonts w:eastAsiaTheme="minorEastAsia"/>
        </w:rPr>
        <w:t>) and cattle inventories (</w:t>
      </w:r>
      <m:oMath>
        <m:r>
          <w:rPr>
            <w:rFonts w:ascii="Cambria Math" w:hAnsi="Cambria Math"/>
          </w:rPr>
          <m:t>Y</m:t>
        </m:r>
      </m:oMath>
      <w:r w:rsidRPr="00103F57">
        <w:rPr>
          <w:rFonts w:eastAsiaTheme="minorEastAsia"/>
        </w:rPr>
        <w:t xml:space="preserve">) is estimated using the formula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Y</m:t>
        </m:r>
      </m:oMath>
      <w:r w:rsidRPr="00103F57">
        <w:rPr>
          <w:rFonts w:eastAsiaTheme="minorEastAsia"/>
        </w:rPr>
        <w:t xml:space="preserve">, where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03F57">
        <w:rPr>
          <w:rFonts w:eastAsiaTheme="minorEastAsia"/>
        </w:rPr>
        <w:t xml:space="preserve"> is the transpose of </w:t>
      </w:r>
      <m:oMath>
        <m:r>
          <w:rPr>
            <w:rFonts w:ascii="Cambria Math" w:hAnsi="Cambria Math"/>
          </w:rPr>
          <m:t>X</m:t>
        </m:r>
      </m:oMath>
      <w:r w:rsidRPr="00103F57">
        <w:rPr>
          <w:rFonts w:eastAsiaTheme="minorEastAsia"/>
        </w:rP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03F57">
        <w:rPr>
          <w:rFonts w:eastAsiaTheme="minorEastAsia"/>
        </w:rPr>
        <w:t xml:space="preserve">​ is the spatial weight matrix specific to county </w:t>
      </w:r>
      <w:r w:rsidRPr="00103F57">
        <w:rPr>
          <w:rFonts w:eastAsiaTheme="minorEastAsia"/>
          <w:i/>
          <w:iCs/>
        </w:rPr>
        <w:t>i</w:t>
      </w:r>
      <w:r w:rsidRPr="00103F57">
        <w:rPr>
          <w:rFonts w:eastAsiaTheme="minorEastAsia"/>
        </w:rPr>
        <w:t xml:space="preserve">. This matrix </w:t>
      </w:r>
      <w:r w:rsidR="00665087">
        <w:rPr>
          <w:rFonts w:eastAsiaTheme="minorEastAsia"/>
        </w:rPr>
        <w:t xml:space="preserve">(same as Equation (2)) </w:t>
      </w:r>
      <w:r w:rsidRPr="00103F57">
        <w:rPr>
          <w:rFonts w:eastAsiaTheme="minorEastAsia"/>
        </w:rPr>
        <w:t>is designed to adjust for spatial dependencies within the data.</w:t>
      </w:r>
    </w:p>
    <w:p w14:paraId="2E382A74" w14:textId="14A77C4A" w:rsidR="00C12185" w:rsidRPr="008C6FEE" w:rsidRDefault="00C12185" w:rsidP="00C12185">
      <w:pPr>
        <w:pStyle w:val="Heading2"/>
      </w:pPr>
      <w:r>
        <w:t>3.</w:t>
      </w:r>
      <w:r w:rsidR="001941C9">
        <w:t>2</w:t>
      </w:r>
      <w:r>
        <w:t xml:space="preserve"> </w:t>
      </w:r>
      <w:r w:rsidR="003152ED">
        <w:t>Heat impact on yield</w:t>
      </w:r>
    </w:p>
    <w:p w14:paraId="1CE9AF96" w14:textId="6AB86B38" w:rsidR="00A1269F" w:rsidRPr="00C47481" w:rsidRDefault="00A1269F" w:rsidP="00E408A0">
      <w:r w:rsidRPr="00C47481">
        <w:t xml:space="preserve">The study makes use of the large variation present in the assembled dataset to identify parameters of interest by applying models of climate change effects on crop yields proposed in the literature </w:t>
      </w:r>
      <w:r w:rsidR="00120612" w:rsidRPr="00C47481">
        <w:rPr>
          <w:color w:val="4472C4" w:themeColor="accent5"/>
        </w:rPr>
        <w:fldChar w:fldCharType="begin" w:fldLock="1"/>
      </w:r>
      <w:r w:rsidR="00414170" w:rsidRPr="00C47481">
        <w:rPr>
          <w:color w:val="4472C4" w:themeColor="accent5"/>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change","type":"article-journal"},"uris":["http://www.mendeley.com/documents/?uuid=fa807162-75c4-4697-aae1-b8f6f31dba55"]},{"id":"ITEM-2","itemData":{"DOI":"10.1038/s41467-020-18317-8","ISSN":"2041-1723","author":[{"dropping-particle":"","family":"Shew","given":"Aaron M.","non-dropping-particle":"","parse-names":false,"suffix":""},{"dropping-particle":"","family":"Tack","given":"Jesse B.","non-dropping-particle":"","parse-names":false,"suffix":""},{"dropping-particle":"","family":"Nalley","given":"Lawton L.","non-dropping-particle":"","parse-names":false,"suffix":""},{"dropping-particle":"","family":"Chaminuka","given":"Petronella","non-dropping-particle":"","parse-names":false,"suffix":""}],"container-title":"Nature Communications","id":"ITEM-2","issue":"1","issued":{"date-parts":[["2020","12","2"]]},"page":"4408","title":"Yield reduction under climate warming varies among wheat cultivars in South Africa","type":"article-journal","volume":"11"},"uris":["http://www.mendeley.com/documents/?uuid=59a81fc6-3520-4289-a58b-55dd0f410397"]},{"id":"ITEM-3","itemData":{"DOI":"10.1073/pnas.1415181112","ISSN":"0027-8424","author":[{"dropping-particle":"","family":"Tack","given":"Jesse","non-dropping-particle":"","parse-names":false,"suffix":""},{"dropping-particle":"","family":"Barkley","given":"Andrew","non-dropping-particle":"","parse-names":false,"suffix":""},{"dropping-particle":"","family":"Nalley","given":"Lawton Lanier","non-dropping-particle":"","parse-names":false,"suffix":""}],"container-title":"Proceedings of the National Academy of Sciences","id":"ITEM-3","issue":"22","issued":{"date-parts":[["2015","6","2"]]},"page":"6931-6936","title":"Effect of warming temperatures on US wheat yields","type":"article-journal","volume":"112"},"uris":["http://www.mendeley.com/documents/?uuid=b8a17bac-f39a-4125-b718-a14c3a7345ba"]}],"mendeley":{"formattedCitation":"[16,17,19]","plainTextFormattedCitation":"[16,17,19]","previouslyFormattedCitation":"(Schlenker and Roberts, 2009; Shew et al., 2020; Tack et al., 2015)"},"properties":{"noteIndex":0},"schema":"https://github.com/citation-style-language/schema/raw/master/csl-citation.json"}</w:instrText>
      </w:r>
      <w:r w:rsidR="00120612" w:rsidRPr="00C47481">
        <w:rPr>
          <w:color w:val="4472C4" w:themeColor="accent5"/>
        </w:rPr>
        <w:fldChar w:fldCharType="separate"/>
      </w:r>
      <w:r w:rsidR="00414170" w:rsidRPr="00C47481">
        <w:rPr>
          <w:noProof/>
          <w:color w:val="4472C4" w:themeColor="accent5"/>
        </w:rPr>
        <w:t>[16,17,19]</w:t>
      </w:r>
      <w:r w:rsidR="00120612" w:rsidRPr="00C47481">
        <w:rPr>
          <w:color w:val="4472C4" w:themeColor="accent5"/>
        </w:rPr>
        <w:fldChar w:fldCharType="end"/>
      </w:r>
      <w:r w:rsidRPr="00C47481">
        <w:t xml:space="preserve">. The model assumes a cumulative effect of temperature on seasonal alfalfa yields, and </w:t>
      </w:r>
      <w:r w:rsidRPr="00C47481">
        <w:lastRenderedPageBreak/>
        <w:t xml:space="preserve">that yield is proportional to cumulative exposure. The implication is that the effect of temperature on the growth rates of alfalfa yields are the same and additively substitutable during the growing season. </w:t>
      </w:r>
      <w:r w:rsidRPr="00C47481">
        <w:rPr>
          <w:rFonts w:eastAsiaTheme="minorEastAsia"/>
          <w:color w:val="ED7D31" w:themeColor="accent2"/>
        </w:rPr>
        <w:fldChar w:fldCharType="begin" w:fldLock="1"/>
      </w:r>
      <w:r w:rsidR="00414170" w:rsidRPr="00C47481">
        <w:rPr>
          <w:rFonts w:eastAsiaTheme="minorEastAsia"/>
          <w:color w:val="ED7D31" w:themeColor="accent2"/>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change","type":"article-journal"},"uris":["http://www.mendeley.com/documents/?uuid=fa807162-75c4-4697-aae1-b8f6f31dba55"]}],"mendeley":{"formattedCitation":"[16]","plainTextFormattedCitation":"[16]","previouslyFormattedCitation":"(Schlenker and Roberts, 2009)"},"properties":{"noteIndex":0},"schema":"https://github.com/citation-style-language/schema/raw/master/csl-citation.json"}</w:instrText>
      </w:r>
      <w:r w:rsidRPr="00C47481">
        <w:rPr>
          <w:rFonts w:eastAsiaTheme="minorEastAsia"/>
          <w:color w:val="ED7D31" w:themeColor="accent2"/>
        </w:rPr>
        <w:fldChar w:fldCharType="separate"/>
      </w:r>
      <w:r w:rsidR="00414170" w:rsidRPr="00C47481">
        <w:rPr>
          <w:rFonts w:eastAsiaTheme="minorEastAsia"/>
          <w:noProof/>
          <w:color w:val="ED7D31" w:themeColor="accent2"/>
        </w:rPr>
        <w:t>[16]</w:t>
      </w:r>
      <w:r w:rsidRPr="00C47481">
        <w:rPr>
          <w:rFonts w:eastAsiaTheme="minorEastAsia"/>
          <w:color w:val="ED7D31" w:themeColor="accent2"/>
        </w:rPr>
        <w:fldChar w:fldCharType="end"/>
      </w:r>
      <w:r w:rsidRPr="00C47481">
        <w:rPr>
          <w:rFonts w:eastAsiaTheme="minorEastAsia"/>
          <w:color w:val="4472C4" w:themeColor="accent5"/>
        </w:rPr>
        <w:t xml:space="preserve"> </w:t>
      </w:r>
      <w:r w:rsidRPr="00C47481">
        <w:t>provides the empirical validity of this assumption, where they specify that yield growth depends nonlinearly on heat (</w:t>
      </w:r>
      <w:r w:rsidRPr="00C47481">
        <w:rPr>
          <w:i/>
        </w:rPr>
        <w:t>h</w:t>
      </w:r>
      <w:r w:rsidRPr="00C47481">
        <w:t>) such that log yield (</w:t>
      </w:r>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y</m:t>
                </m:r>
              </m:e>
              <m:sub>
                <m:r>
                  <w:rPr>
                    <w:rFonts w:ascii="Cambria Math" w:hAnsi="Cambria Math"/>
                  </w:rPr>
                  <m:t>it</m:t>
                </m:r>
              </m:sub>
            </m:sSub>
          </m:e>
        </m:func>
      </m:oMath>
      <w:r w:rsidRPr="00C47481">
        <w:t xml:space="preserve">) for </w:t>
      </w:r>
      <w:r w:rsidR="0027397D" w:rsidRPr="00C47481">
        <w:t>county</w:t>
      </w:r>
      <w:r w:rsidR="0027397D" w:rsidRPr="00C47481">
        <w:rPr>
          <w:i/>
        </w:rPr>
        <w:t xml:space="preserve"> </w:t>
      </w:r>
      <w:r w:rsidRPr="00C47481">
        <w:rPr>
          <w:i/>
        </w:rPr>
        <w:t>i</w:t>
      </w:r>
      <w:r w:rsidRPr="00C47481">
        <w:t xml:space="preserve"> and year </w:t>
      </w:r>
      <w:r w:rsidRPr="00C47481">
        <w:rPr>
          <w:i/>
        </w:rPr>
        <w:t>t</w:t>
      </w:r>
      <w:r w:rsidRPr="00C47481">
        <w:t xml:space="preserve"> is</w:t>
      </w:r>
    </w:p>
    <w:p w14:paraId="4C01E190" w14:textId="1CB9CAD2" w:rsidR="00A1269F" w:rsidRPr="00C47481" w:rsidRDefault="00AE6C2A" w:rsidP="00E408A0">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y</m:t>
                </m:r>
              </m:e>
              <m:sub>
                <m:r>
                  <w:rPr>
                    <w:rFonts w:ascii="Cambria Math" w:hAnsi="Cambria Math"/>
                  </w:rPr>
                  <m:t>it</m:t>
                </m:r>
              </m:sub>
            </m:sSub>
          </m:e>
        </m:func>
        <m:r>
          <m:rPr>
            <m:sty m:val="p"/>
          </m:rPr>
          <w:rPr>
            <w:rFonts w:ascii="Cambria Math" w:hAnsi="Cambria Math"/>
          </w:rPr>
          <m:t>=</m:t>
        </m:r>
        <m:nary>
          <m:naryPr>
            <m:limLoc m:val="subSup"/>
            <m:ctrlPr>
              <w:rPr>
                <w:rFonts w:ascii="Cambria Math" w:hAnsi="Cambria Math"/>
              </w:rPr>
            </m:ctrlPr>
          </m:naryPr>
          <m:sub>
            <m:bar>
              <m:barPr>
                <m:ctrlPr>
                  <w:rPr>
                    <w:rFonts w:ascii="Cambria Math" w:hAnsi="Cambria Math"/>
                  </w:rPr>
                </m:ctrlPr>
              </m:barPr>
              <m:e>
                <m:r>
                  <w:rPr>
                    <w:rFonts w:ascii="Cambria Math" w:hAnsi="Cambria Math"/>
                  </w:rPr>
                  <m:t>h</m:t>
                </m:r>
              </m:e>
            </m:bar>
          </m:sub>
          <m:sup>
            <m:acc>
              <m:accPr>
                <m:chr m:val="̅"/>
                <m:ctrlPr>
                  <w:rPr>
                    <w:rFonts w:ascii="Cambria Math" w:hAnsi="Cambria Math"/>
                  </w:rPr>
                </m:ctrlPr>
              </m:accPr>
              <m:e>
                <m:r>
                  <w:rPr>
                    <w:rFonts w:ascii="Cambria Math" w:hAnsi="Cambria Math"/>
                  </w:rPr>
                  <m:t>h</m:t>
                </m:r>
              </m:e>
            </m:acc>
          </m:sup>
          <m:e>
            <m:r>
              <w:rPr>
                <w:rFonts w:ascii="Cambria Math" w:hAnsi="Cambria Math"/>
              </w:rPr>
              <m:t>g</m:t>
            </m:r>
            <m:d>
              <m:dPr>
                <m:ctrlPr>
                  <w:rPr>
                    <w:rFonts w:ascii="Cambria Math" w:hAnsi="Cambria Math"/>
                  </w:rPr>
                </m:ctrlPr>
              </m:dPr>
              <m:e>
                <m:r>
                  <w:rPr>
                    <w:rFonts w:ascii="Cambria Math" w:hAnsi="Cambria Math"/>
                  </w:rPr>
                  <m:t>h</m:t>
                </m:r>
              </m:e>
            </m:d>
            <m:sSub>
              <m:sSubPr>
                <m:ctrlPr>
                  <w:rPr>
                    <w:rFonts w:ascii="Cambria Math" w:hAnsi="Cambria Math"/>
                  </w:rPr>
                </m:ctrlPr>
              </m:sSubPr>
              <m:e>
                <m:r>
                  <w:rPr>
                    <w:rFonts w:ascii="Cambria Math" w:hAnsi="Cambria Math"/>
                  </w:rPr>
                  <m:t>ϕ</m:t>
                </m:r>
              </m:e>
              <m:sub>
                <m:r>
                  <w:rPr>
                    <w:rFonts w:ascii="Cambria Math" w:hAnsi="Cambria Math"/>
                  </w:rPr>
                  <m:t>it</m:t>
                </m:r>
              </m:sub>
            </m:sSub>
            <m:d>
              <m:dPr>
                <m:ctrlPr>
                  <w:rPr>
                    <w:rFonts w:ascii="Cambria Math" w:hAnsi="Cambria Math"/>
                  </w:rPr>
                </m:ctrlPr>
              </m:dPr>
              <m:e>
                <m:r>
                  <w:rPr>
                    <w:rFonts w:ascii="Cambria Math" w:hAnsi="Cambria Math"/>
                  </w:rPr>
                  <m:t>h</m:t>
                </m:r>
              </m:e>
            </m:d>
            <m:r>
              <w:rPr>
                <w:rFonts w:ascii="Cambria Math" w:hAnsi="Cambria Math"/>
              </w:rPr>
              <m:t>dh</m:t>
            </m:r>
          </m:e>
        </m:nary>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it</m:t>
            </m:r>
          </m:sub>
        </m:sSub>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r w:rsidR="00A1269F" w:rsidRPr="00C47481">
        <w:rPr>
          <w:rFonts w:eastAsiaTheme="minorEastAsia"/>
        </w:rPr>
        <w:t xml:space="preserve"> </w:t>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t>(</w:t>
      </w:r>
      <w:r w:rsidR="00735117">
        <w:rPr>
          <w:rFonts w:eastAsiaTheme="minorEastAsia"/>
        </w:rPr>
        <w:t>3</w:t>
      </w:r>
      <w:r w:rsidR="00A1269F" w:rsidRPr="00C47481">
        <w:rPr>
          <w:rFonts w:eastAsiaTheme="minorEastAsia"/>
        </w:rPr>
        <w:t>)</w:t>
      </w:r>
    </w:p>
    <w:p w14:paraId="7F372381" w14:textId="28A167BB" w:rsidR="00A1269F" w:rsidRPr="00C47481" w:rsidRDefault="00A1269F" w:rsidP="00E408A0">
      <w:r w:rsidRPr="00C47481">
        <w:t xml:space="preserve">Where </w:t>
      </w:r>
      <m:oMath>
        <m:sSub>
          <m:sSubPr>
            <m:ctrlPr>
              <w:rPr>
                <w:rFonts w:ascii="Cambria Math" w:hAnsi="Cambria Math"/>
                <w:i/>
              </w:rPr>
            </m:ctrlPr>
          </m:sSubPr>
          <m:e>
            <m:r>
              <w:rPr>
                <w:rFonts w:ascii="Cambria Math" w:hAnsi="Cambria Math"/>
              </w:rPr>
              <m:t>ϕ</m:t>
            </m:r>
          </m:e>
          <m:sub>
            <m:r>
              <w:rPr>
                <w:rFonts w:ascii="Cambria Math" w:hAnsi="Cambria Math"/>
              </w:rPr>
              <m:t>it</m:t>
            </m:r>
          </m:sub>
        </m:sSub>
        <m:d>
          <m:dPr>
            <m:ctrlPr>
              <w:rPr>
                <w:rFonts w:ascii="Cambria Math" w:hAnsi="Cambria Math"/>
                <w:i/>
              </w:rPr>
            </m:ctrlPr>
          </m:dPr>
          <m:e>
            <m:r>
              <w:rPr>
                <w:rFonts w:ascii="Cambria Math" w:hAnsi="Cambria Math"/>
              </w:rPr>
              <m:t>h</m:t>
            </m:r>
          </m:e>
        </m:d>
      </m:oMath>
      <w:r w:rsidRPr="00C47481">
        <w:rPr>
          <w:rFonts w:eastAsiaTheme="minorEastAsia"/>
        </w:rPr>
        <w:t xml:space="preserve"> is the time distribution of </w:t>
      </w:r>
      <w:r w:rsidRPr="00C47481">
        <w:rPr>
          <w:i/>
        </w:rPr>
        <w:t>h</w:t>
      </w:r>
      <w:r w:rsidRPr="00C47481">
        <w:rPr>
          <w:rFonts w:eastAsiaTheme="minorEastAsia"/>
        </w:rPr>
        <w:t xml:space="preserve"> over the growing season for </w:t>
      </w:r>
      <w:r w:rsidR="006A4E49" w:rsidRPr="00C47481">
        <w:t>county</w:t>
      </w:r>
      <w:r w:rsidR="006A4E49" w:rsidRPr="00C47481">
        <w:rPr>
          <w:i/>
        </w:rPr>
        <w:t xml:space="preserve"> </w:t>
      </w:r>
      <w:r w:rsidRPr="00C47481">
        <w:rPr>
          <w:i/>
        </w:rPr>
        <w:t>i</w:t>
      </w:r>
      <w:r w:rsidRPr="00C47481">
        <w:t xml:space="preserve"> and year </w:t>
      </w:r>
      <w:r w:rsidRPr="00C47481">
        <w:rPr>
          <w:i/>
        </w:rPr>
        <w:t>t</w:t>
      </w:r>
      <w:r w:rsidRPr="00C47481">
        <w:t xml:space="preserve">. The observed temperatures during </w:t>
      </w:r>
      <w:r w:rsidR="00B06DE7" w:rsidRPr="00C47481">
        <w:t xml:space="preserve">the </w:t>
      </w:r>
      <w:r w:rsidRPr="00C47481">
        <w:rPr>
          <w:rFonts w:eastAsiaTheme="minorEastAsia"/>
        </w:rPr>
        <w:t xml:space="preserve">growing season </w:t>
      </w:r>
      <w:r w:rsidRPr="00C47481">
        <w:t xml:space="preserve">range between </w:t>
      </w:r>
      <m:oMath>
        <m:bar>
          <m:barPr>
            <m:ctrlPr>
              <w:rPr>
                <w:rFonts w:ascii="Cambria Math" w:hAnsi="Cambria Math"/>
                <w:i/>
              </w:rPr>
            </m:ctrlPr>
          </m:barPr>
          <m:e>
            <m:r>
              <w:rPr>
                <w:rFonts w:ascii="Cambria Math" w:hAnsi="Cambria Math"/>
              </w:rPr>
              <m:t>h</m:t>
            </m:r>
          </m:e>
        </m:bar>
      </m:oMath>
      <w:r w:rsidRPr="00C47481">
        <w:rPr>
          <w:rFonts w:eastAsiaTheme="minorEastAsia"/>
        </w:rPr>
        <w:t xml:space="preserve"> </w:t>
      </w:r>
      <w:r w:rsidRPr="00C47481">
        <w:t xml:space="preserve">and </w:t>
      </w:r>
      <m:oMath>
        <m:acc>
          <m:accPr>
            <m:chr m:val="̅"/>
            <m:ctrlPr>
              <w:rPr>
                <w:rFonts w:ascii="Cambria Math" w:hAnsi="Cambria Math"/>
                <w:i/>
              </w:rPr>
            </m:ctrlPr>
          </m:accPr>
          <m:e>
            <m:r>
              <w:rPr>
                <w:rFonts w:ascii="Cambria Math" w:hAnsi="Cambria Math"/>
              </w:rPr>
              <m:t>h</m:t>
            </m:r>
          </m:e>
        </m:acc>
      </m:oMath>
      <w:r w:rsidRPr="00C47481">
        <w:t xml:space="preserve">. The vector </w:t>
      </w:r>
      <m:oMath>
        <m:sSub>
          <m:sSubPr>
            <m:ctrlPr>
              <w:rPr>
                <w:rFonts w:ascii="Cambria Math" w:hAnsi="Cambria Math"/>
              </w:rPr>
            </m:ctrlPr>
          </m:sSubPr>
          <m:e>
            <m:r>
              <m:rPr>
                <m:sty m:val="bi"/>
              </m:rPr>
              <w:rPr>
                <w:rFonts w:ascii="Cambria Math" w:hAnsi="Cambria Math"/>
              </w:rPr>
              <m:t>w</m:t>
            </m:r>
          </m:e>
          <m:sub>
            <m:r>
              <w:rPr>
                <w:rFonts w:ascii="Cambria Math" w:hAnsi="Cambria Math"/>
              </w:rPr>
              <m:t>it</m:t>
            </m:r>
          </m:sub>
        </m:sSub>
        <m:r>
          <w:rPr>
            <w:rFonts w:ascii="Cambria Math" w:hAnsi="Cambria Math"/>
          </w:rPr>
          <m:t xml:space="preserve"> </m:t>
        </m:r>
      </m:oMath>
      <w:r w:rsidRPr="00C47481">
        <w:t xml:space="preserve">contains other control factors, including </w:t>
      </w:r>
      <w:r w:rsidR="00DC5C3C" w:rsidRPr="00DC5C3C">
        <w:t>quadratic function of cumulative precipitation to capture the nonlinear effects of rainfall</w:t>
      </w:r>
      <w:r w:rsidRPr="00C47481">
        <w:t xml:space="preserve">, quadratic time trend by </w:t>
      </w:r>
      <w:r w:rsidR="00A77247" w:rsidRPr="00C47481">
        <w:t xml:space="preserve">state </w:t>
      </w:r>
      <w:r w:rsidRPr="00C47481">
        <w:t xml:space="preserve">to capture </w:t>
      </w:r>
      <w:r w:rsidR="001B44D9" w:rsidRPr="00C47481">
        <w:t>state</w:t>
      </w:r>
      <w:r w:rsidR="00D42CA3" w:rsidRPr="00C47481">
        <w:t>-</w:t>
      </w:r>
      <w:r w:rsidR="007625B4" w:rsidRPr="00C47481">
        <w:t>specific</w:t>
      </w:r>
      <w:r w:rsidR="001B44D9" w:rsidRPr="00C47481">
        <w:t xml:space="preserve"> </w:t>
      </w:r>
      <w:r w:rsidRPr="00C47481">
        <w:t xml:space="preserve">technological change, and </w:t>
      </w:r>
      <w:r w:rsidR="00A80821" w:rsidRPr="00C47481">
        <w:t>county</w:t>
      </w:r>
      <w:r w:rsidRPr="00C47481">
        <w:t xml:space="preserve"> fixed effect to control for cross-sectional heterogeneity. Finally, </w:t>
      </w: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Pr="00C47481">
        <w:rPr>
          <w:rFonts w:eastAsiaTheme="minorEastAsia"/>
        </w:rPr>
        <w:t xml:space="preserve"> capture</w:t>
      </w:r>
      <w:r w:rsidR="00915F67" w:rsidRPr="00C47481">
        <w:rPr>
          <w:rFonts w:eastAsiaTheme="minorEastAsia"/>
        </w:rPr>
        <w:t>s</w:t>
      </w:r>
      <w:r w:rsidRPr="00C47481">
        <w:rPr>
          <w:rFonts w:eastAsiaTheme="minorEastAsia"/>
        </w:rPr>
        <w:t xml:space="preserve"> any remaining unobserved heterogeneity and is assumed to be heteroskedastic. </w:t>
      </w:r>
    </w:p>
    <w:p w14:paraId="00B496AF" w14:textId="30C84943" w:rsidR="00A1269F" w:rsidRPr="00C47481" w:rsidRDefault="00A1269F" w:rsidP="00E408A0">
      <w:pPr>
        <w:rPr>
          <w:rFonts w:eastAsiaTheme="minorEastAsia"/>
        </w:rPr>
      </w:pPr>
      <w:r w:rsidRPr="00C47481">
        <w:t>Following</w:t>
      </w:r>
      <w:r w:rsidR="002A14ED">
        <w:t xml:space="preserve"> related works</w:t>
      </w:r>
      <w:r w:rsidRPr="00C47481">
        <w:t xml:space="preserve"> </w:t>
      </w:r>
      <w:r w:rsidRPr="00C47481">
        <w:fldChar w:fldCharType="begin" w:fldLock="1"/>
      </w:r>
      <w:r w:rsidR="00414170" w:rsidRPr="00C47481">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change","type":"article-journal"},"uris":["http://www.mendeley.com/documents/?uuid=fa807162-75c4-4697-aae1-b8f6f31dba55"]}],"mendeley":{"formattedCitation":"[16]","plainTextFormattedCitation":"[16]","previouslyFormattedCitation":"(Schlenker and Roberts, 2009)"},"properties":{"noteIndex":0},"schema":"https://github.com/citation-style-language/schema/raw/master/csl-citation.json"}</w:instrText>
      </w:r>
      <w:r w:rsidRPr="00C47481">
        <w:fldChar w:fldCharType="separate"/>
      </w:r>
      <w:r w:rsidR="00414170" w:rsidRPr="00C47481">
        <w:rPr>
          <w:noProof/>
        </w:rPr>
        <w:t>[16]</w:t>
      </w:r>
      <w:r w:rsidRPr="00C47481">
        <w:fldChar w:fldCharType="end"/>
      </w:r>
      <w:r w:rsidRPr="00C47481">
        <w:t>, Equation (</w:t>
      </w:r>
      <w:r w:rsidR="00735117">
        <w:t>3</w:t>
      </w:r>
      <w:r w:rsidRPr="00C47481">
        <w:t xml:space="preserve">) </w:t>
      </w:r>
      <w:r w:rsidR="00D7053E">
        <w:t xml:space="preserve">is </w:t>
      </w:r>
      <w:r w:rsidR="00D7053E" w:rsidRPr="00C47481">
        <w:t>approximate</w:t>
      </w:r>
      <w:r w:rsidR="00D7053E">
        <w:t xml:space="preserve">d with </w:t>
      </w:r>
      <w:r w:rsidRPr="00C47481">
        <w:rPr>
          <w:rFonts w:eastAsiaTheme="minorEastAsia"/>
        </w:rPr>
        <w:t>the piecewise linear degree</w:t>
      </w:r>
      <w:r w:rsidR="00C65687" w:rsidRPr="00C47481">
        <w:rPr>
          <w:rFonts w:eastAsiaTheme="minorEastAsia"/>
        </w:rPr>
        <w:t>-</w:t>
      </w:r>
      <w:r w:rsidRPr="00C47481">
        <w:rPr>
          <w:rFonts w:eastAsiaTheme="minorEastAsia"/>
        </w:rPr>
        <w:t>day approach, which is like the concept of growing degree</w:t>
      </w:r>
      <w:r w:rsidR="00C65687" w:rsidRPr="00C47481">
        <w:rPr>
          <w:rFonts w:eastAsiaTheme="minorEastAsia"/>
        </w:rPr>
        <w:t>-</w:t>
      </w:r>
      <w:r w:rsidRPr="00C47481">
        <w:rPr>
          <w:rFonts w:eastAsiaTheme="minorEastAsia"/>
        </w:rPr>
        <w:t>days where alfalfa yield growth increases linearly up to an endogenous temperature threshold (</w:t>
      </w:r>
      <w:r w:rsidR="000307B4" w:rsidRPr="00C47481">
        <w:rPr>
          <w:rFonts w:eastAsiaTheme="minorEastAsia"/>
        </w:rPr>
        <w:t>i.e.,</w:t>
      </w:r>
      <w:r w:rsidRPr="00C47481">
        <w:rPr>
          <w:rFonts w:eastAsiaTheme="minorEastAsia"/>
        </w:rPr>
        <w:t xml:space="preserve"> the optimal temperature) and then decreases linearly for every 1°C increase above that threshold. The specification for the degree</w:t>
      </w:r>
      <w:r w:rsidR="00D42CA3" w:rsidRPr="00C47481">
        <w:rPr>
          <w:rFonts w:eastAsiaTheme="minorEastAsia"/>
        </w:rPr>
        <w:t>-</w:t>
      </w:r>
      <w:r w:rsidRPr="00C47481">
        <w:rPr>
          <w:rFonts w:eastAsiaTheme="minorEastAsia"/>
        </w:rPr>
        <w:t>day model is given by</w:t>
      </w:r>
      <w:r w:rsidR="006A416F" w:rsidRPr="00C47481">
        <w:rPr>
          <w:rFonts w:eastAsiaTheme="minorEastAsia"/>
        </w:rPr>
        <w:t>:</w:t>
      </w:r>
    </w:p>
    <w:p w14:paraId="0B9D8FBE" w14:textId="4EE10FDD" w:rsidR="00A1269F" w:rsidRDefault="00AE6C2A" w:rsidP="00E408A0">
      <w:pPr>
        <w:rPr>
          <w:rFonts w:eastAsiaTheme="minorEastAsia"/>
        </w:rPr>
      </w:pP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y</m:t>
                </m:r>
              </m:e>
              <m:sub>
                <m:r>
                  <w:rPr>
                    <w:rFonts w:ascii="Cambria Math" w:hAnsi="Cambria Math"/>
                  </w:rPr>
                  <m:t>it</m:t>
                </m:r>
              </m:sub>
            </m:sSub>
          </m:e>
        </m:fun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sSub>
          <m:sSubPr>
            <m:ctrlPr>
              <w:rPr>
                <w:rFonts w:ascii="Cambria Math" w:hAnsi="Cambria Math"/>
              </w:rPr>
            </m:ctrlPr>
          </m:sSubPr>
          <m:e>
            <m:r>
              <w:rPr>
                <w:rFonts w:ascii="Cambria Math" w:hAnsi="Cambria Math"/>
              </w:rPr>
              <m:t>DDL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DDM</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sSub>
          <m:sSubPr>
            <m:ctrlPr>
              <w:rPr>
                <w:rFonts w:ascii="Cambria Math" w:hAnsi="Cambria Math"/>
              </w:rPr>
            </m:ctrlPr>
          </m:sSubPr>
          <m:e>
            <m:r>
              <w:rPr>
                <w:rFonts w:ascii="Cambria Math" w:hAnsi="Cambria Math"/>
              </w:rPr>
              <m:t>DDH</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it</m:t>
            </m:r>
          </m:sub>
        </m:sSub>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r w:rsidR="00A1269F" w:rsidRPr="00C47481">
        <w:rPr>
          <w:rFonts w:eastAsiaTheme="minorEastAsia"/>
        </w:rPr>
        <w:t xml:space="preserve"> </w:t>
      </w:r>
      <w:r w:rsidR="00A1269F" w:rsidRPr="00C47481">
        <w:rPr>
          <w:rFonts w:eastAsiaTheme="minorEastAsia"/>
        </w:rPr>
        <w:tab/>
      </w:r>
      <w:r w:rsidR="0035783E">
        <w:rPr>
          <w:rFonts w:eastAsiaTheme="minorEastAsia"/>
        </w:rPr>
        <w:tab/>
      </w:r>
      <w:r w:rsidR="000D6E9B">
        <w:rPr>
          <w:rFonts w:eastAsiaTheme="minorEastAsia"/>
        </w:rPr>
        <w:tab/>
      </w:r>
      <w:r w:rsidR="0035783E" w:rsidRPr="00C47481">
        <w:rPr>
          <w:rFonts w:eastAsiaTheme="minorEastAsia"/>
        </w:rPr>
        <w:t xml:space="preserve"> </w:t>
      </w:r>
      <w:r w:rsidR="00A1269F" w:rsidRPr="00C47481">
        <w:rPr>
          <w:rFonts w:eastAsiaTheme="minorEastAsia"/>
        </w:rPr>
        <w:t>(</w:t>
      </w:r>
      <w:r w:rsidR="00735117">
        <w:rPr>
          <w:rFonts w:eastAsiaTheme="minorEastAsia"/>
        </w:rPr>
        <w:t>4</w:t>
      </w:r>
      <w:r w:rsidR="00A1269F" w:rsidRPr="00C47481">
        <w:rPr>
          <w:rFonts w:eastAsiaTheme="minorEastAsia"/>
        </w:rPr>
        <w:t>)</w:t>
      </w:r>
    </w:p>
    <w:p w14:paraId="2340FCCB" w14:textId="6B8BF551" w:rsidR="0035783E" w:rsidRDefault="000562AA" w:rsidP="00E408A0">
      <w:r w:rsidRPr="000562AA">
        <w:t xml:space="preserve">The three temperature variables, </w:t>
      </w:r>
      <m:oMath>
        <m:sSub>
          <m:sSubPr>
            <m:ctrlPr>
              <w:rPr>
                <w:rFonts w:ascii="Cambria Math" w:hAnsi="Cambria Math"/>
                <w:i/>
              </w:rPr>
            </m:ctrlPr>
          </m:sSubPr>
          <m:e>
            <m:r>
              <w:rPr>
                <w:rFonts w:ascii="Cambria Math" w:hAnsi="Cambria Math"/>
              </w:rPr>
              <m:t>DDL</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DDM</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DDH</m:t>
            </m:r>
          </m:e>
          <m:sub>
            <m:r>
              <w:rPr>
                <w:rFonts w:ascii="Cambria Math" w:hAnsi="Cambria Math"/>
              </w:rPr>
              <m:t>it</m:t>
            </m:r>
          </m:sub>
        </m:sSub>
      </m:oMath>
      <w:r w:rsidRPr="000562AA">
        <w:t xml:space="preserve">, capture respectively degree days between zero and the lower threshold, the lower threshold and the upper threshold, and above the upper threshold. Essentially, these variables admit a piecewise linear relation between temperature and log yield over three ranges of temperatures defined endogenously by the placement of cut points </w:t>
      </w:r>
      <w:r w:rsidRPr="000562AA">
        <w:lastRenderedPageBreak/>
        <w:t>(thresholds).</w:t>
      </w:r>
      <w:r w:rsidR="003751DE">
        <w:t xml:space="preserve"> </w:t>
      </w:r>
      <w:r w:rsidR="003751DE" w:rsidRPr="00C47481">
        <w:t>The temperature thresholds are endogenously determined</w:t>
      </w:r>
      <w:r w:rsidR="003751DE">
        <w:t xml:space="preserve"> </w:t>
      </w:r>
      <w:r w:rsidR="003751DE" w:rsidRPr="00C47481">
        <w:t>by looping over all threshold-pairs between 0-39°C, estimate the least-squares segment slopes for each pair, and then pick the threshold and segment slopes that have the best model fit in terms of R-squared.</w:t>
      </w:r>
      <w:r w:rsidR="0031113E">
        <w:t xml:space="preserve"> </w:t>
      </w:r>
      <w:r w:rsidR="00D7053E">
        <w:t xml:space="preserve">This looping produced the </w:t>
      </w:r>
      <w:r w:rsidR="00D7053E" w:rsidRPr="000562AA">
        <w:t>lower</w:t>
      </w:r>
      <w:r w:rsidR="00D7053E">
        <w:t xml:space="preserve"> and </w:t>
      </w:r>
      <w:r w:rsidR="00D7053E" w:rsidRPr="000562AA">
        <w:t>upper</w:t>
      </w:r>
      <w:r w:rsidR="00D7053E">
        <w:t xml:space="preserve"> temperature </w:t>
      </w:r>
      <w:r w:rsidR="00D7053E" w:rsidRPr="000562AA">
        <w:t>threshold</w:t>
      </w:r>
      <w:r w:rsidR="00D7053E">
        <w:t>s at 1</w:t>
      </w:r>
      <w:r w:rsidR="00610CD3">
        <w:t>4</w:t>
      </w:r>
      <w:r w:rsidR="00D7053E" w:rsidRPr="00C47481">
        <w:t>°C</w:t>
      </w:r>
      <w:r w:rsidR="00D7053E">
        <w:t xml:space="preserve"> and 29</w:t>
      </w:r>
      <w:r w:rsidR="00D7053E" w:rsidRPr="00C47481">
        <w:t>°C</w:t>
      </w:r>
      <w:r w:rsidR="00D7053E">
        <w:t>, respectively. Finally, w</w:t>
      </w:r>
      <w:r w:rsidR="007935AE" w:rsidRPr="007935AE">
        <w:t>e</w:t>
      </w:r>
      <w:r w:rsidR="007935AE">
        <w:t xml:space="preserve"> </w:t>
      </w:r>
      <w:r w:rsidR="007935AE" w:rsidRPr="007935AE">
        <w:t>cluster the standard errors at year level to account for possible spatial correlations</w:t>
      </w:r>
      <w:r w:rsidR="008F3BB9">
        <w:t xml:space="preserve"> as </w:t>
      </w:r>
      <w:r w:rsidR="00F06031">
        <w:t>done in related works (</w:t>
      </w:r>
      <w:r w:rsidR="00F06031" w:rsidRPr="00F06031">
        <w:rPr>
          <w:color w:val="FF0000"/>
        </w:rPr>
        <w:t>citations</w:t>
      </w:r>
      <w:r w:rsidR="00F06031">
        <w:t>).</w:t>
      </w:r>
    </w:p>
    <w:p w14:paraId="59682378" w14:textId="32DBD50F" w:rsidR="00A13EF6" w:rsidRPr="008C6FEE" w:rsidRDefault="00A13EF6" w:rsidP="00A13EF6">
      <w:pPr>
        <w:pStyle w:val="Heading2"/>
      </w:pPr>
      <w:r>
        <w:t>3.</w:t>
      </w:r>
      <w:r w:rsidR="00A020C1">
        <w:t>3</w:t>
      </w:r>
      <w:r>
        <w:t xml:space="preserve"> Simulations</w:t>
      </w:r>
    </w:p>
    <w:p w14:paraId="37AA55D3" w14:textId="72C68EC9" w:rsidR="00A1269F" w:rsidRPr="00C47481" w:rsidRDefault="00A1269F" w:rsidP="00E408A0">
      <w:r w:rsidRPr="00C47481">
        <w:t>The Representative Concentration Pathway (RCP) trajectory adopted by the Intergovernmental Panel on Climate Change (IPCC) for its fifth Assessment Report (AR5) in 2014 suggests global warming increase projections that range from 0.4</w:t>
      </w:r>
      <w:r w:rsidR="003A74C0" w:rsidRPr="00C47481">
        <w:t xml:space="preserve"> to </w:t>
      </w:r>
      <w:r w:rsidRPr="00C47481">
        <w:t>4.8</w:t>
      </w:r>
      <w:r w:rsidRPr="00C47481">
        <w:rPr>
          <w:rFonts w:eastAsiaTheme="minorEastAsia"/>
        </w:rPr>
        <w:t>°C</w:t>
      </w:r>
      <w:r w:rsidRPr="00C47481">
        <w:t xml:space="preserve"> </w:t>
      </w:r>
      <w:r w:rsidR="00B64C7B" w:rsidRPr="00C47481">
        <w:rPr>
          <w:color w:val="4472C4" w:themeColor="accent5"/>
        </w:rPr>
        <w:fldChar w:fldCharType="begin" w:fldLock="1"/>
      </w:r>
      <w:r w:rsidR="00414170" w:rsidRPr="00C47481">
        <w:rPr>
          <w:color w:val="4472C4" w:themeColor="accent5"/>
        </w:rPr>
        <w:instrText>ADDIN CSL_CITATION {"citationItems":[{"id":"ITEM-1","itemData":{"DOI":"10.1017/CBO9781107415324","ISBN":"9781107415324","abstract":"This latest Fifth Assessment Report of the Intergovernmental Panel on Climate Change (IPCC) will again form the standard scientific reference for all those concerned with climate change and its consequences, including students and researchers in environmental science, meteorology, climatology, biology, ecology and atmospheric chemistry. It provides invaluable material for decision makers and stakeholders: international, national, local; and in all branches: government, businesses, and NGOs. This volume provides: An authoritative and unbiased overview of the physical science basis of climate change • A more extensive assessment of changes observed throughout the climate system than ever before • New dedicated chapters on sea-level change, biogeochemical cycles, clouds and aerosols, and regional climate phenomena • A more extensive coverage of model projections, both near-term and long-term climate projections • A detailed assessment of climate change observations, modelling, and attribution for every continent • A new comprehensive atlas of global and regional climate projections for 35 regions of the world.","author":[{"dropping-particle":"","family":"Intergovernmental Panel on Climate Change (IPCC)","given":"","non-dropping-particle":"","parse-names":false,"suffix":""}],"editor":[{"dropping-particle":"","family":"Stocker","given":"Thomas F.","non-dropping-particle":"","parse-names":false,"suffix":""},{"dropping-particle":"","family":"Qin","given":"Dahe","non-dropping-particle":"","parse-names":false,"suffix":""},{"dropping-particle":"","family":"Plattner","given":"Gian Kasper","non-dropping-particle":"","parse-names":false,"suffix":""},{"dropping-particle":"","family":"Tignor","given":"Melinda M.B.","non-dropping-particle":"","parse-names":false,"suffix":""},{"dropping-particle":"","family":"Allen","given":"Simon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M.","non-dropping-particle":"","parse-names":false,"suffix":""}],"id":"ITEM-1","issued":{"date-parts":[["2013"]]},"number-of-pages":"1535","publisher":"Cambridge University Press","publisher-place":"Cambridge","title":"Climate Change 2013 the Physical Science Basis: Working Group I Contribution to the Fifth Assessment Report of the Intergovernmental Panel on Climate Change","type":"book"},"uris":["http://www.mendeley.com/documents/?uuid=174c684e-8014-4982-bc46-6d4f5225e8da"]}],"mendeley":{"formattedCitation":"[15]","plainTextFormattedCitation":"[15]","previouslyFormattedCitation":"(Intergovernmental Panel on Climate Change (IPCC), 2013)"},"properties":{"noteIndex":0},"schema":"https://github.com/citation-style-language/schema/raw/master/csl-citation.json"}</w:instrText>
      </w:r>
      <w:r w:rsidR="00B64C7B" w:rsidRPr="00C47481">
        <w:rPr>
          <w:color w:val="4472C4" w:themeColor="accent5"/>
        </w:rPr>
        <w:fldChar w:fldCharType="separate"/>
      </w:r>
      <w:r w:rsidR="00414170" w:rsidRPr="00C47481">
        <w:rPr>
          <w:noProof/>
          <w:color w:val="4472C4" w:themeColor="accent5"/>
        </w:rPr>
        <w:t>[15]</w:t>
      </w:r>
      <w:r w:rsidR="00B64C7B" w:rsidRPr="00C47481">
        <w:rPr>
          <w:color w:val="4472C4" w:themeColor="accent5"/>
        </w:rPr>
        <w:fldChar w:fldCharType="end"/>
      </w:r>
      <w:r w:rsidRPr="00C47481">
        <w:t>.</w:t>
      </w:r>
      <w:r w:rsidR="006E407B" w:rsidRPr="00C47481">
        <w:t xml:space="preserve"> T</w:t>
      </w:r>
      <w:r w:rsidRPr="00C47481">
        <w:t>h</w:t>
      </w:r>
      <w:r w:rsidR="00DA7DBC" w:rsidRPr="00C47481">
        <w:t>is</w:t>
      </w:r>
      <w:r w:rsidRPr="00C47481">
        <w:t xml:space="preserve"> study considers warming scenarios of </w:t>
      </w:r>
      <w:r w:rsidR="00E70B49">
        <w:rPr>
          <w:rFonts w:eastAsiaTheme="minorEastAsia"/>
        </w:rPr>
        <w:t>0.5</w:t>
      </w:r>
      <w:r w:rsidRPr="00C47481">
        <w:rPr>
          <w:rFonts w:eastAsiaTheme="minorEastAsia"/>
        </w:rPr>
        <w:t xml:space="preserve"> to </w:t>
      </w:r>
      <w:r w:rsidR="00E70B49">
        <w:rPr>
          <w:rFonts w:eastAsiaTheme="minorEastAsia"/>
        </w:rPr>
        <w:t>3</w:t>
      </w:r>
      <w:r w:rsidRPr="00C47481">
        <w:rPr>
          <w:rFonts w:eastAsiaTheme="minorEastAsia"/>
        </w:rPr>
        <w:t xml:space="preserve">°C </w:t>
      </w:r>
      <w:r w:rsidR="00FF18D2">
        <w:rPr>
          <w:rFonts w:eastAsiaTheme="minorEastAsia"/>
        </w:rPr>
        <w:t xml:space="preserve">in 0.5 increments </w:t>
      </w:r>
      <w:r w:rsidRPr="00C47481">
        <w:rPr>
          <w:rFonts w:eastAsiaTheme="minorEastAsia"/>
        </w:rPr>
        <w:t>to ascertain the respective changes in alfalfa yields</w:t>
      </w:r>
      <w:r w:rsidRPr="00C47481">
        <w:t>. The predictions for each scenario w</w:t>
      </w:r>
      <w:r w:rsidR="00D42CA3" w:rsidRPr="00C47481">
        <w:t>ere</w:t>
      </w:r>
      <w:r w:rsidRPr="00C47481">
        <w:t xml:space="preserve"> obtained via a three-step process. First, </w:t>
      </w:r>
      <w:r w:rsidR="00C65687" w:rsidRPr="00C47481">
        <w:t xml:space="preserve">each </w:t>
      </w:r>
      <w:r w:rsidRPr="00C47481">
        <w:t xml:space="preserve">daily temperature </w:t>
      </w:r>
      <w:r w:rsidR="00C65687" w:rsidRPr="00C47481">
        <w:t xml:space="preserve">observation </w:t>
      </w:r>
      <w:r w:rsidRPr="00C47481">
        <w:t xml:space="preserve">for the periods and location in the dataset was increased by the respective warming scenario. For instance, daily min and max temperatures of -15 and 18 </w:t>
      </w:r>
      <w:r w:rsidRPr="00C47481">
        <w:rPr>
          <w:rFonts w:eastAsiaTheme="minorEastAsia"/>
        </w:rPr>
        <w:t>°C</w:t>
      </w:r>
      <w:r w:rsidRPr="00C47481">
        <w:t xml:space="preserve"> recorded on say July 8, 1986</w:t>
      </w:r>
      <w:r w:rsidR="00D42CA3" w:rsidRPr="00C47481">
        <w:t>,</w:t>
      </w:r>
      <w:r w:rsidRPr="00C47481">
        <w:t xml:space="preserve"> w</w:t>
      </w:r>
      <w:r w:rsidR="00073540" w:rsidRPr="00C47481">
        <w:t>ere</w:t>
      </w:r>
      <w:r w:rsidRPr="00C47481">
        <w:t xml:space="preserve"> changed to (-1</w:t>
      </w:r>
      <w:r w:rsidR="00910D67" w:rsidRPr="00C47481">
        <w:t>5</w:t>
      </w:r>
      <w:r w:rsidRPr="00C47481">
        <w:t xml:space="preserve"> +</w:t>
      </w:r>
      <w:r w:rsidRPr="00C47481">
        <w:rPr>
          <w:rFonts w:eastAsiaTheme="minorEastAsia"/>
        </w:rPr>
        <w:t xml:space="preserve"> </w:t>
      </w:r>
      <w:r w:rsidR="00FF18D2" w:rsidRPr="00FF18D2">
        <w:rPr>
          <w:rFonts w:eastAsiaTheme="minorEastAsia"/>
          <w:i/>
          <w:iCs/>
        </w:rPr>
        <w:t>k</w:t>
      </w:r>
      <w:r w:rsidRPr="00C47481">
        <w:rPr>
          <w:rFonts w:eastAsiaTheme="minorEastAsia"/>
        </w:rPr>
        <w:t>)</w:t>
      </w:r>
      <w:r w:rsidRPr="00C47481">
        <w:t xml:space="preserve"> and (18 + </w:t>
      </w:r>
      <w:r w:rsidR="00FF18D2" w:rsidRPr="00FF18D2">
        <w:rPr>
          <w:rFonts w:eastAsiaTheme="minorEastAsia"/>
          <w:i/>
          <w:iCs/>
        </w:rPr>
        <w:t>k</w:t>
      </w:r>
      <w:r w:rsidRPr="00C47481">
        <w:t xml:space="preserve">) </w:t>
      </w:r>
      <w:r w:rsidRPr="00C47481">
        <w:rPr>
          <w:rFonts w:eastAsiaTheme="minorEastAsia"/>
        </w:rPr>
        <w:t xml:space="preserve">°C for the case of the </w:t>
      </w:r>
      <w:r w:rsidR="00FF18D2" w:rsidRPr="00FF18D2">
        <w:rPr>
          <w:rFonts w:eastAsiaTheme="minorEastAsia"/>
          <w:i/>
          <w:iCs/>
        </w:rPr>
        <w:t>k</w:t>
      </w:r>
      <w:r w:rsidRPr="00C47481">
        <w:rPr>
          <w:rFonts w:eastAsiaTheme="minorEastAsia"/>
        </w:rPr>
        <w:t xml:space="preserve">°C warming </w:t>
      </w:r>
      <w:r w:rsidRPr="00C47481">
        <w:t>scenario, respectively. Using these new temperatures, the study then calculates the associated degree</w:t>
      </w:r>
      <w:r w:rsidR="00C65687" w:rsidRPr="00C47481">
        <w:t>-</w:t>
      </w:r>
      <w:r w:rsidRPr="00C47481">
        <w:t xml:space="preserve">days as </w:t>
      </w:r>
      <m:oMath>
        <m:sSub>
          <m:sSubPr>
            <m:ctrlPr>
              <w:rPr>
                <w:rFonts w:ascii="Cambria Math" w:hAnsi="Cambria Math"/>
                <w:i/>
              </w:rPr>
            </m:ctrlPr>
          </m:sSubPr>
          <m:e>
            <m:r>
              <w:rPr>
                <w:rFonts w:ascii="Cambria Math" w:hAnsi="Cambria Math"/>
              </w:rPr>
              <m:t>DDL</m:t>
            </m:r>
          </m:e>
          <m:sub>
            <m:r>
              <w:rPr>
                <w:rFonts w:ascii="Cambria Math" w:hAnsi="Cambria Math"/>
              </w:rPr>
              <m:t>k</m:t>
            </m:r>
          </m:sub>
        </m:sSub>
      </m:oMath>
      <w:r w:rsidRPr="00C47481">
        <w:rPr>
          <w:rFonts w:eastAsiaTheme="minorEastAsia"/>
        </w:rPr>
        <w:t xml:space="preserve">, </w:t>
      </w:r>
      <m:oMath>
        <m:sSub>
          <m:sSubPr>
            <m:ctrlPr>
              <w:rPr>
                <w:rFonts w:ascii="Cambria Math" w:hAnsi="Cambria Math"/>
                <w:i/>
              </w:rPr>
            </m:ctrlPr>
          </m:sSubPr>
          <m:e>
            <m:r>
              <w:rPr>
                <w:rFonts w:ascii="Cambria Math" w:hAnsi="Cambria Math"/>
              </w:rPr>
              <m:t>DDM</m:t>
            </m:r>
          </m:e>
          <m:sub>
            <m:r>
              <w:rPr>
                <w:rFonts w:ascii="Cambria Math" w:hAnsi="Cambria Math"/>
              </w:rPr>
              <m:t>k</m:t>
            </m:r>
          </m:sub>
        </m:sSub>
      </m:oMath>
      <w:r w:rsidRPr="00C47481">
        <w:rPr>
          <w:rFonts w:eastAsiaTheme="minorEastAsia"/>
        </w:rPr>
        <w:t xml:space="preserve">, and </w:t>
      </w:r>
      <m:oMath>
        <m:sSub>
          <m:sSubPr>
            <m:ctrlPr>
              <w:rPr>
                <w:rFonts w:ascii="Cambria Math" w:hAnsi="Cambria Math"/>
                <w:i/>
              </w:rPr>
            </m:ctrlPr>
          </m:sSubPr>
          <m:e>
            <m:r>
              <w:rPr>
                <w:rFonts w:ascii="Cambria Math" w:hAnsi="Cambria Math"/>
              </w:rPr>
              <m:t>DDH</m:t>
            </m:r>
          </m:e>
          <m:sub>
            <m:r>
              <w:rPr>
                <w:rFonts w:ascii="Cambria Math" w:hAnsi="Cambria Math"/>
              </w:rPr>
              <m:t>k</m:t>
            </m:r>
          </m:sub>
        </m:sSub>
      </m:oMath>
      <w:r w:rsidRPr="00C47481">
        <w:rPr>
          <w:rFonts w:eastAsiaTheme="minorEastAsia"/>
        </w:rPr>
        <w:t>. Finally, g</w:t>
      </w:r>
      <w:r w:rsidRPr="00C47481">
        <w:t xml:space="preserve">iven the estimates from the </w:t>
      </w:r>
      <w:r w:rsidRPr="00C47481">
        <w:rPr>
          <w:rFonts w:eastAsiaTheme="minorEastAsia"/>
        </w:rPr>
        <w:t>piecewise linear degree</w:t>
      </w:r>
      <w:r w:rsidR="00C65687" w:rsidRPr="00C47481">
        <w:rPr>
          <w:rFonts w:eastAsiaTheme="minorEastAsia"/>
        </w:rPr>
        <w:t>-</w:t>
      </w:r>
      <w:r w:rsidRPr="00C47481">
        <w:rPr>
          <w:rFonts w:eastAsiaTheme="minorEastAsia"/>
        </w:rPr>
        <w:t xml:space="preserve">day approach, the predicted percentage change in alfalfa yield following an </w:t>
      </w:r>
      <w:r w:rsidR="00FF18D2" w:rsidRPr="00FF18D2">
        <w:rPr>
          <w:rFonts w:eastAsiaTheme="minorEastAsia"/>
          <w:i/>
          <w:iCs/>
        </w:rPr>
        <w:t>k</w:t>
      </w:r>
      <w:r w:rsidRPr="00C47481">
        <w:rPr>
          <w:rFonts w:eastAsiaTheme="minorEastAsia"/>
        </w:rPr>
        <w:t xml:space="preserve">°C increase in temperature is estimated as </w:t>
      </w:r>
    </w:p>
    <w:p w14:paraId="1CAB4D95" w14:textId="659F24D9" w:rsidR="00A1269F" w:rsidRDefault="00AE6C2A" w:rsidP="00E408A0">
      <w:pP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DDL</m:t>
                        </m:r>
                      </m:e>
                      <m:sub>
                        <m:r>
                          <w:rPr>
                            <w:rFonts w:ascii="Cambria Math" w:hAnsi="Cambria Math"/>
                          </w:rPr>
                          <m:t>k</m:t>
                        </m:r>
                      </m:sub>
                    </m:sSub>
                    <m:r>
                      <m:rPr>
                        <m:sty m:val="p"/>
                      </m:rPr>
                      <w:rPr>
                        <w:rFonts w:ascii="Cambria Math" w:hAnsi="Cambria Math"/>
                      </w:rPr>
                      <m:t>-</m:t>
                    </m:r>
                    <m:r>
                      <w:rPr>
                        <w:rFonts w:ascii="Cambria Math" w:hAnsi="Cambria Math"/>
                      </w:rPr>
                      <m:t>DDL</m:t>
                    </m:r>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DDM</m:t>
                        </m:r>
                      </m:e>
                      <m:sub>
                        <m:r>
                          <w:rPr>
                            <w:rFonts w:ascii="Cambria Math" w:hAnsi="Cambria Math"/>
                          </w:rPr>
                          <m:t>k</m:t>
                        </m:r>
                      </m:sub>
                    </m:sSub>
                    <m:r>
                      <m:rPr>
                        <m:sty m:val="p"/>
                      </m:rPr>
                      <w:rPr>
                        <w:rFonts w:ascii="Cambria Math" w:hAnsi="Cambria Math"/>
                      </w:rPr>
                      <m:t>-</m:t>
                    </m:r>
                    <m:r>
                      <w:rPr>
                        <w:rFonts w:ascii="Cambria Math" w:hAnsi="Cambria Math"/>
                      </w:rPr>
                      <m:t>DDM</m:t>
                    </m:r>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DDH</m:t>
                        </m:r>
                      </m:e>
                      <m:sub>
                        <m:r>
                          <w:rPr>
                            <w:rFonts w:ascii="Cambria Math" w:hAnsi="Cambria Math"/>
                          </w:rPr>
                          <m:t>k</m:t>
                        </m:r>
                      </m:sub>
                    </m:sSub>
                    <m:r>
                      <m:rPr>
                        <m:sty m:val="p"/>
                      </m:rPr>
                      <w:rPr>
                        <w:rFonts w:ascii="Cambria Math" w:hAnsi="Cambria Math"/>
                      </w:rPr>
                      <m:t>-</m:t>
                    </m:r>
                    <m:r>
                      <w:rPr>
                        <w:rFonts w:ascii="Cambria Math" w:hAnsi="Cambria Math"/>
                      </w:rPr>
                      <m:t>DDH</m:t>
                    </m:r>
                  </m:e>
                </m:d>
              </m:sup>
            </m:sSup>
            <m:r>
              <m:rPr>
                <m:sty m:val="p"/>
              </m:rPr>
              <w:rPr>
                <w:rFonts w:ascii="Cambria Math" w:hAnsi="Cambria Math"/>
              </w:rPr>
              <m:t>-1</m:t>
            </m:r>
          </m:e>
        </m:d>
        <m:r>
          <m:rPr>
            <m:sty m:val="p"/>
          </m:rPr>
          <w:rPr>
            <w:rFonts w:ascii="Cambria Math" w:hAnsi="Cambria Math"/>
          </w:rPr>
          <m:t>×100%</m:t>
        </m:r>
      </m:oMath>
      <w:r w:rsidR="00DA7DBC" w:rsidRPr="00C47481">
        <w:rPr>
          <w:rFonts w:eastAsiaTheme="minorEastAsia"/>
        </w:rPr>
        <w:t>.</w:t>
      </w:r>
      <w:r w:rsidR="00A1269F" w:rsidRPr="00C47481">
        <w:rPr>
          <w:rFonts w:eastAsiaTheme="minorEastAsia"/>
        </w:rPr>
        <w:tab/>
      </w:r>
      <w:r w:rsidR="00A1269F" w:rsidRPr="00C47481">
        <w:rPr>
          <w:rFonts w:eastAsiaTheme="minorEastAsia"/>
        </w:rPr>
        <w:tab/>
      </w:r>
      <w:r w:rsidR="000E1837">
        <w:rPr>
          <w:rFonts w:eastAsiaTheme="minorEastAsia"/>
        </w:rPr>
        <w:tab/>
      </w:r>
      <w:r w:rsidR="000E1837">
        <w:rPr>
          <w:rFonts w:eastAsiaTheme="minorEastAsia"/>
        </w:rPr>
        <w:tab/>
      </w:r>
      <w:r w:rsidR="00A1269F" w:rsidRPr="00C47481">
        <w:rPr>
          <w:rFonts w:eastAsiaTheme="minorEastAsia"/>
        </w:rPr>
        <w:t>(</w:t>
      </w:r>
      <w:r w:rsidR="00F926F4">
        <w:rPr>
          <w:rFonts w:eastAsiaTheme="minorEastAsia"/>
        </w:rPr>
        <w:t>5</w:t>
      </w:r>
      <w:r w:rsidR="00A1269F" w:rsidRPr="00C47481">
        <w:rPr>
          <w:rFonts w:eastAsiaTheme="minorEastAsia"/>
        </w:rPr>
        <w:t>)</w:t>
      </w:r>
    </w:p>
    <w:p w14:paraId="7518A5EA" w14:textId="2DAE5AD0" w:rsidR="00110CC5" w:rsidRDefault="00B41348" w:rsidP="00B41348">
      <w:r>
        <w:t xml:space="preserve">We estimated yield shocks for each county based on the specified warming scenarios. </w:t>
      </w:r>
      <w:r w:rsidR="00C478DD">
        <w:t>Mean c</w:t>
      </w:r>
      <w:r>
        <w:t xml:space="preserve">ounty yields </w:t>
      </w:r>
      <w:r w:rsidR="00C478DD">
        <w:t xml:space="preserve">over the period </w:t>
      </w:r>
      <w:r>
        <w:t>2002</w:t>
      </w:r>
      <w:r w:rsidR="00C478DD">
        <w:t xml:space="preserve">-2022 (see Figure </w:t>
      </w:r>
      <w:r w:rsidR="00B33CB2">
        <w:t>2)</w:t>
      </w:r>
      <w:r>
        <w:t xml:space="preserve"> were then adjusted according to each scenario </w:t>
      </w:r>
      <w:r>
        <w:lastRenderedPageBreak/>
        <w:t xml:space="preserve">before recalculating the availability of alfalfa </w:t>
      </w:r>
      <w:r w:rsidR="00FC2180">
        <w:t xml:space="preserve">over the period 2002-2022 </w:t>
      </w:r>
      <w:r>
        <w:t xml:space="preserve">and assessing the resultant shocks. We subsequently linked these alfalfa availability shocks to the cattle inventory </w:t>
      </w:r>
      <w:r w:rsidR="0046524D">
        <w:t>associations</w:t>
      </w:r>
      <w:r>
        <w:t xml:space="preserve"> we established in our initial analysis. This series of extrapolations was designed to evaluate how cattle production might geographically adapt in response to the impacts of warming on alfalfa availability.</w:t>
      </w:r>
    </w:p>
    <w:p w14:paraId="1A1A0CA4" w14:textId="28F7A78C" w:rsidR="00A1269F" w:rsidRDefault="004452C5" w:rsidP="00E408A0">
      <w:pPr>
        <w:pStyle w:val="Heading1"/>
      </w:pPr>
      <w:r>
        <w:t xml:space="preserve">4. </w:t>
      </w:r>
      <w:r w:rsidR="00A1269F" w:rsidRPr="00C47481">
        <w:t>Results</w:t>
      </w:r>
    </w:p>
    <w:p w14:paraId="3537D1D7" w14:textId="0456EB11" w:rsidR="009F52A9" w:rsidRDefault="009F52A9" w:rsidP="009F52A9">
      <w:pPr>
        <w:pStyle w:val="Heading2"/>
        <w:tabs>
          <w:tab w:val="left" w:pos="1978"/>
        </w:tabs>
      </w:pPr>
      <w:r>
        <w:t>4.</w:t>
      </w:r>
      <w:r>
        <w:t>1</w:t>
      </w:r>
      <w:r>
        <w:t xml:space="preserve"> </w:t>
      </w:r>
      <w:r w:rsidR="003B75B0">
        <w:t>A</w:t>
      </w:r>
      <w:r>
        <w:t xml:space="preserve">lfalfa </w:t>
      </w:r>
      <w:r>
        <w:rPr>
          <w:b w:val="0"/>
          <w:bCs/>
        </w:rPr>
        <w:t>h</w:t>
      </w:r>
      <w:r w:rsidRPr="00625DD3">
        <w:rPr>
          <w:bCs/>
        </w:rPr>
        <w:t xml:space="preserve">ay </w:t>
      </w:r>
      <w:r>
        <w:t xml:space="preserve">availability </w:t>
      </w:r>
      <w:r w:rsidR="003B75B0">
        <w:t xml:space="preserve">and its regional association with cattle inventories </w:t>
      </w:r>
    </w:p>
    <w:p w14:paraId="0FD338D4" w14:textId="77777777" w:rsidR="009F52A9" w:rsidRPr="009F52A9" w:rsidRDefault="009F52A9" w:rsidP="009F52A9"/>
    <w:p w14:paraId="45E69B0C" w14:textId="1A2691CC" w:rsidR="00882C30" w:rsidRDefault="004452C5" w:rsidP="00B31B2A">
      <w:pPr>
        <w:pStyle w:val="Heading2"/>
        <w:tabs>
          <w:tab w:val="left" w:pos="1978"/>
        </w:tabs>
      </w:pPr>
      <w:r>
        <w:t>4.</w:t>
      </w:r>
      <w:r w:rsidR="00683446">
        <w:t>2</w:t>
      </w:r>
      <w:r>
        <w:t xml:space="preserve"> </w:t>
      </w:r>
      <w:r w:rsidR="00C210F6">
        <w:t>Alfalfa</w:t>
      </w:r>
      <w:r w:rsidR="00C210F6" w:rsidRPr="00C663B1">
        <w:t xml:space="preserve"> </w:t>
      </w:r>
      <w:r w:rsidR="00C210F6">
        <w:rPr>
          <w:b w:val="0"/>
          <w:bCs/>
        </w:rPr>
        <w:t>h</w:t>
      </w:r>
      <w:r w:rsidR="00C210F6" w:rsidRPr="00625DD3">
        <w:rPr>
          <w:bCs/>
        </w:rPr>
        <w:t xml:space="preserve">ay </w:t>
      </w:r>
      <w:r w:rsidR="00C210F6" w:rsidRPr="00C663B1">
        <w:t xml:space="preserve">yields drop sharply with exposure to temperatures over </w:t>
      </w:r>
      <w:r w:rsidR="00C210F6">
        <w:t>29</w:t>
      </w:r>
      <w:r w:rsidR="00C210F6" w:rsidRPr="00C663B1">
        <w:t>°</w:t>
      </w:r>
      <w:r w:rsidR="00C210F6">
        <w:t>C</w:t>
      </w:r>
    </w:p>
    <w:p w14:paraId="601ACCD2" w14:textId="6F281BD1" w:rsidR="003E1480" w:rsidRDefault="00194A88" w:rsidP="00194A88">
      <w:r>
        <w:t>The coefficients of Equation (4) are presented in Table 2. We estimate Equation (4) across six different growing season weather aggregation windows, with our preferred seven-month window achieving the highest R-squared value of 26.48%. It is important to note that interpreting the estimated coefficients of the degree day variables requires caution, as a change in a degree day implies changes in the entire temperature distribution. However, several significant observations hold true regardless of the aggregation window. Increased exposure to beneficial heat (degree days between 14°C and 29°C) is positively correlated with crop yields, whereas exposure to harmful heat (degree days above 29°C) is negatively correlated. The relationship between temperature and alfalfa yields, using the seven-month window (Figure 4), shows that temperatures below 14°C result in negligible yield improvements</w:t>
      </w:r>
      <w:r w:rsidR="0058199F">
        <w:t xml:space="preserve"> </w:t>
      </w:r>
      <w:r w:rsidR="006F4222">
        <w:t xml:space="preserve">of </w:t>
      </w:r>
      <w:r w:rsidR="006F4222" w:rsidRPr="00B40D04">
        <w:rPr>
          <w:color w:val="FF0000"/>
        </w:rPr>
        <w:t>0.0000427</w:t>
      </w:r>
      <w:r w:rsidR="006F4222">
        <w:t>%</w:t>
      </w:r>
      <w:r>
        <w:t xml:space="preserve">. Conversely, exposures from 14°C to 29°C yield a modest improvement of about </w:t>
      </w:r>
      <w:r w:rsidR="006856DE" w:rsidRPr="006856DE">
        <w:rPr>
          <w:color w:val="FF0000"/>
        </w:rPr>
        <w:t>0.0000634</w:t>
      </w:r>
      <w:r>
        <w:t xml:space="preserve">%. However, temperatures above 29°C are associated with a significant yield reduction of </w:t>
      </w:r>
      <w:r w:rsidR="008F65AA" w:rsidRPr="008F65AA">
        <w:rPr>
          <w:color w:val="FF0000"/>
        </w:rPr>
        <w:t>0.0014901</w:t>
      </w:r>
      <w:r>
        <w:t xml:space="preserve">%, indicating negative impacts from warming. Although the specific thresholds differ, the pattern of beneficial and detrimental temperature exposures observed in Figure 4 aligns with previous studies </w:t>
      </w:r>
      <w:r w:rsidRPr="00120612">
        <w:rPr>
          <w:color w:val="4472C4" w:themeColor="accent5"/>
        </w:rPr>
        <w:fldChar w:fldCharType="begin" w:fldLock="1"/>
      </w:r>
      <w:r>
        <w:rPr>
          <w:color w:val="4472C4" w:themeColor="accent5"/>
        </w:rPr>
        <w:instrText>ADDIN CSL_CITATION {"citationItems":[{"id":"ITEM-1","itemData":{"DOI":"10.1073/pnas.0906865106","ISSN":"00278424","abstract":"The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model.","author":[{"dropping-particle":"","family":"Schlenker","given":"Wolfram","non-dropping-particle":"","parse-names":false,"suffix":""},{"dropping-particle":"","family":"Roberts","given":"Michael J.","non-dropping-particle":"","parse-names":false,"suffix":""}],"container-title":"Proceedings of the National Academy of Sciences of the United States of America","id":"ITEM-1","issued":{"date-parts":[["2009"]]},"title":"Nonlinear temperature effects indicate severe damages to U.S. crop yields under climate change","type":"article-journal"},"uris":["http://www.mendeley.com/documents/?uuid=fa807162-75c4-4697-aae1-b8f6f31dba55"]},{"id":"ITEM-2","itemData":{"DOI":"10.1038/s41467-020-18317-8","ISSN":"2041-1723","author":[{"dropping-particle":"","family":"Shew","given":"Aaron M.","non-dropping-particle":"","parse-names":false,"suffix":""},{"dropping-particle":"","family":"Tack","given":"Jesse B.","non-dropping-particle":"","parse-names":false,"suffix":""},{"dropping-particle":"","family":"Nalley","given":"Lawton L.","non-dropping-particle":"","parse-names":false,"suffix":""},{"dropping-particle":"","family":"Chaminuka","given":"Petronella","non-dropping-particle":"","parse-names":false,"suffix":""}],"container-title":"Nature Communications","id":"ITEM-2","issue":"1","issued":{"date-parts":[["2020","12","2"]]},"page":"4408","title":"Yield reduction under climate warming varies among wheat cultivars in South Africa","type":"article-journal","volume":"11"},"uris":["http://www.mendeley.com/documents/?uuid=59a81fc6-3520-4289-a58b-55dd0f410397"]},{"id":"ITEM-3","itemData":{"DOI":"10.1073/pnas.1415181112","ISSN":"0027-8424","author":[{"dropping-particle":"","family":"Tack","given":"Jesse","non-dropping-particle":"","parse-names":false,"suffix":""},{"dropping-particle":"","family":"Barkley","given":"Andrew","non-dropping-particle":"","parse-names":false,"suffix":""},{"dropping-particle":"","family":"Nalley","given":"Lawton Lanier","non-dropping-particle":"","parse-names":false,"suffix":""}],"container-title":"Proceedings of the National Academy of Sciences","id":"ITEM-3","issue":"22","issued":{"date-parts":[["2015","6","2"]]},"page":"6931-6936","title":"Effect of warming temperatures on US wheat yields","type":"article-journal","volume":"112"},"uris":["http://www.mendeley.com/documents/?uuid=b8a17bac-f39a-4125-b718-a14c3a7345ba"]}],"mendeley":{"formattedCitation":"[16,17,19]","plainTextFormattedCitation":"[16,17,19]","previouslyFormattedCitation":"(Schlenker and Roberts, 2009; Shew et al., 2020; Tack et al., 2015)"},"properties":{"noteIndex":0},"schema":"https://github.com/citation-style-language/schema/raw/master/csl-citation.json"}</w:instrText>
      </w:r>
      <w:r w:rsidRPr="00120612">
        <w:rPr>
          <w:color w:val="4472C4" w:themeColor="accent5"/>
        </w:rPr>
        <w:fldChar w:fldCharType="separate"/>
      </w:r>
      <w:r w:rsidRPr="00414170">
        <w:rPr>
          <w:noProof/>
          <w:color w:val="4472C4" w:themeColor="accent5"/>
        </w:rPr>
        <w:t>[16,17,19]</w:t>
      </w:r>
      <w:r w:rsidRPr="00120612">
        <w:rPr>
          <w:color w:val="4472C4" w:themeColor="accent5"/>
        </w:rPr>
        <w:fldChar w:fldCharType="end"/>
      </w:r>
      <w:r>
        <w:t xml:space="preserve">. Regarding </w:t>
      </w:r>
      <w:r>
        <w:lastRenderedPageBreak/>
        <w:t xml:space="preserve">precipitation, the estimates in Table 2 indicate that it positively affects yields up to approximately </w:t>
      </w:r>
      <w:r w:rsidRPr="00194A88">
        <w:rPr>
          <w:color w:val="FF0000"/>
        </w:rPr>
        <w:t>#</w:t>
      </w:r>
      <w:r>
        <w:rPr>
          <w:color w:val="FF0000"/>
        </w:rPr>
        <w:t xml:space="preserve"> </w:t>
      </w:r>
      <w:r w:rsidRPr="00194A88">
        <w:t>inches</w:t>
      </w:r>
      <w:r>
        <w:t xml:space="preserve">, after which the benefit declines. Given that the mean annual precipitation is only </w:t>
      </w:r>
      <w:r w:rsidRPr="00194A88">
        <w:rPr>
          <w:color w:val="FF0000"/>
        </w:rPr>
        <w:t>#</w:t>
      </w:r>
      <w:r>
        <w:rPr>
          <w:color w:val="FF0000"/>
        </w:rPr>
        <w:t xml:space="preserve"> </w:t>
      </w:r>
      <w:r w:rsidRPr="00194A88">
        <w:t>inches</w:t>
      </w:r>
      <w:r>
        <w:t>, yields are unlikely to decline due to excessive annual precipitation. However, periodic destructive rainfall could still lead to yield declines, resulting from physical crop damage rather than agronomic limitations.</w:t>
      </w:r>
    </w:p>
    <w:p w14:paraId="42D02F89" w14:textId="3B8FE0C6" w:rsidR="008F3776" w:rsidRDefault="004452C5" w:rsidP="008F3776">
      <w:pPr>
        <w:pStyle w:val="Heading2"/>
        <w:tabs>
          <w:tab w:val="left" w:pos="1978"/>
        </w:tabs>
      </w:pPr>
      <w:r>
        <w:t>4.</w:t>
      </w:r>
      <w:r w:rsidR="000B2DA2">
        <w:t>3</w:t>
      </w:r>
      <w:r>
        <w:t xml:space="preserve"> </w:t>
      </w:r>
      <w:r w:rsidR="00C210F6">
        <w:t>I</w:t>
      </w:r>
      <w:r w:rsidR="00C210F6" w:rsidRPr="00FF30A7">
        <w:t xml:space="preserve">mpact of uniform warming on </w:t>
      </w:r>
      <w:r w:rsidR="00C210F6">
        <w:t xml:space="preserve">alfalfa </w:t>
      </w:r>
      <w:r w:rsidR="00C210F6">
        <w:rPr>
          <w:b w:val="0"/>
          <w:bCs/>
        </w:rPr>
        <w:t>h</w:t>
      </w:r>
      <w:r w:rsidR="00C210F6" w:rsidRPr="00625DD3">
        <w:rPr>
          <w:bCs/>
        </w:rPr>
        <w:t xml:space="preserve">ay </w:t>
      </w:r>
      <w:r w:rsidR="00C210F6">
        <w:t xml:space="preserve">yield </w:t>
      </w:r>
    </w:p>
    <w:p w14:paraId="6A4E2F08" w14:textId="5F6886EB" w:rsidR="00CD4E6B" w:rsidRDefault="001C586A" w:rsidP="001B47CE">
      <w:r>
        <w:t>The dominance of beneficial (at or below 29°C) and detrimental (above 29°C) temperature exposures over one another will determine the overall impact of warming. To ascertain which of the two dominates, the study predicts yield impacts following a +1°C uniform temperature change. Figure 5(a) shows that relative to the current NOAA recommended baseline climate period of 1991-2020, a 1°C warming scenario produces an average 1.638% decrease in alfalfa hay yields in the US. Altering the warming intensity also shows that larger declines expected at hotter scenarios with alfalfa hay yields expected to decline by 0.621, 2.988, 4.673, 6.53, and 8.57% for a +0.5, +1.5, +2.0, +2.5, and +3.0°C uniform temperature change</w:t>
      </w:r>
      <w:r w:rsidR="00CD4E6B">
        <w:t xml:space="preserve">. </w:t>
      </w:r>
    </w:p>
    <w:p w14:paraId="1A71E33E" w14:textId="641B5427" w:rsidR="00D744C6" w:rsidRDefault="00D744C6" w:rsidP="00A149C2">
      <w:r w:rsidRPr="00D744C6">
        <w:t>Our baseline climate period of 1991 to 2020 follows NOAA recommendations, but alternative periods may be more informative (</w:t>
      </w:r>
      <w:commentRangeStart w:id="0"/>
      <w:r w:rsidRPr="00D744C6">
        <w:t>IPCC, 1994</w:t>
      </w:r>
      <w:commentRangeEnd w:id="0"/>
      <w:r w:rsidR="00602082">
        <w:rPr>
          <w:rStyle w:val="CommentReference"/>
        </w:rPr>
        <w:commentReference w:id="0"/>
      </w:r>
      <w:r w:rsidRPr="00D744C6">
        <w:t>). Earlier periods, such as 1961 to 1990, show more significant anthropogenic trends due to sulphate aerosols, especially in the eastern USA (</w:t>
      </w:r>
      <w:commentRangeStart w:id="1"/>
      <w:r w:rsidRPr="00D744C6">
        <w:t>Karl et al., 1996</w:t>
      </w:r>
      <w:commentRangeEnd w:id="1"/>
      <w:r w:rsidR="00344900">
        <w:rPr>
          <w:rStyle w:val="CommentReference"/>
        </w:rPr>
        <w:commentReference w:id="1"/>
      </w:r>
      <w:r w:rsidRPr="00D744C6">
        <w:t xml:space="preserve">). </w:t>
      </w:r>
      <w:r w:rsidR="007E2419">
        <w:t>Ideally, the 19th century would be the best baseline when anthropogenic impacts were minimal. Evaluating the +1°C alfalfa yield impact with different baselines reveals significant variations. The 1981-2010 period shows a slightly higher impact of -1.738%, while earlier periods, such as 1961-1990 (-3.304%), exhibit more substantial negative impacts. The highest impact is in 1971-2000 at -3.744%. These findings highlight the importance of considering various historical periods to fully understand climatic influences on agricultural productivity</w:t>
      </w:r>
      <w:r w:rsidRPr="00D744C6">
        <w:t>.</w:t>
      </w:r>
    </w:p>
    <w:p w14:paraId="513E9408" w14:textId="222E78CD" w:rsidR="008A36A0" w:rsidRDefault="00307C80" w:rsidP="00254550">
      <w:r>
        <w:lastRenderedPageBreak/>
        <w:t>Hay harvesting presents unique challenges due to its multiple cuttings throughout the year, unlike crops such as corn and soybeans, which have specific growing seasons. The period from seeding to the last cut varies widely by location, making it difficult to define a uniform growing season. Our preferred specification aggregates data only over the first seven months within each state-defined range. To evaluate the robustness of the +1°C alfalfa yield impact, we independently adjust the weather data accumulation window. Our analysis reveals that the yield impact of a +1°C temperature increase varies with the data window. A 10-month window shows -2.032%, while a 7-month window, our preferred specification, yields -1.638%. Shorter windows like 6 months (-1.231%) and 5 months (–0.733%) show decreasing impacts</w:t>
      </w:r>
      <w:r w:rsidR="00EF4197" w:rsidRPr="00EF4197">
        <w:t>.</w:t>
      </w:r>
      <w:r w:rsidR="00254550" w:rsidRPr="00254550">
        <w:t xml:space="preserve"> </w:t>
      </w:r>
      <w:r w:rsidR="00254550">
        <w:t>Finally, non-alfalfa hay types show a slightly higher impact of -1.863% following a +1°C warming scenario indicating that different types of hay respond differently to warming temperatures, with alfalfa hay being the most resilient</w:t>
      </w:r>
      <w:r w:rsidR="00632DB9" w:rsidRPr="00632DB9">
        <w:t>.</w:t>
      </w:r>
    </w:p>
    <w:p w14:paraId="29925680" w14:textId="7EC816E0" w:rsidR="005A6A60" w:rsidRDefault="00E02E59" w:rsidP="00AB2A5B">
      <w:r w:rsidRPr="00E02E59">
        <w:t>The predicted impacts of a +1°C climate change scenario on U.S. alfalfa hay yields vary significantly by region</w:t>
      </w:r>
      <w:r w:rsidR="00F73548">
        <w:t xml:space="preserve"> (See Figure </w:t>
      </w:r>
      <w:r w:rsidR="00F33FCC">
        <w:t>6)</w:t>
      </w:r>
      <w:r w:rsidRPr="00E02E59">
        <w:t xml:space="preserve">. </w:t>
      </w:r>
      <w:r w:rsidR="00A86B5B">
        <w:t xml:space="preserve">Counties in the </w:t>
      </w:r>
      <w:r w:rsidRPr="00E02E59">
        <w:t>Northeast</w:t>
      </w:r>
      <w:r w:rsidR="00A86B5B">
        <w:t xml:space="preserve"> </w:t>
      </w:r>
      <w:r w:rsidRPr="00E02E59">
        <w:t xml:space="preserve">generally show positive trends, with </w:t>
      </w:r>
      <w:r w:rsidR="00A86B5B">
        <w:t xml:space="preserve">those in </w:t>
      </w:r>
      <w:r w:rsidRPr="00E02E59">
        <w:t>Connecticut (</w:t>
      </w:r>
      <w:r w:rsidR="00F12C7E">
        <w:t>count</w:t>
      </w:r>
      <w:r w:rsidR="00BB1640">
        <w:t>y</w:t>
      </w:r>
      <w:r w:rsidR="00503E6D">
        <w:t xml:space="preserve"> average</w:t>
      </w:r>
      <w:r w:rsidR="00BB1640">
        <w:t xml:space="preserve"> =</w:t>
      </w:r>
      <w:r w:rsidR="00503E6D">
        <w:t xml:space="preserve"> </w:t>
      </w:r>
      <w:r w:rsidRPr="00E02E59">
        <w:t>+1.5</w:t>
      </w:r>
      <w:r w:rsidR="002175D7">
        <w:t>4</w:t>
      </w:r>
      <w:r w:rsidRPr="00E02E59">
        <w:t xml:space="preserve">%), Rhode Island (+1.47%), and Massachusetts (+1.34%) experiencing the most significant increases, likely due to the cooler climate mitigating heat stress. The Midwest presents a mixed response; </w:t>
      </w:r>
      <w:r w:rsidR="00A406F0">
        <w:t xml:space="preserve">with counties in </w:t>
      </w:r>
      <w:r w:rsidRPr="00E02E59">
        <w:t>states like North Dakota (+1.</w:t>
      </w:r>
      <w:r w:rsidR="00800E30">
        <w:t>10</w:t>
      </w:r>
      <w:r w:rsidRPr="00E02E59">
        <w:t>%), Wisconsin (+1.0</w:t>
      </w:r>
      <w:r w:rsidR="00800E30">
        <w:t>2</w:t>
      </w:r>
      <w:r w:rsidRPr="00E02E59">
        <w:t>%), and Minnesota (+1.0</w:t>
      </w:r>
      <w:r w:rsidR="00800E30">
        <w:t>4</w:t>
      </w:r>
      <w:r w:rsidRPr="00E02E59">
        <w:t xml:space="preserve">%) see slight gains, possibly benefiting from warmer temperatures improving growing conditions, while </w:t>
      </w:r>
      <w:r w:rsidR="00E17CF4">
        <w:t xml:space="preserve">those in </w:t>
      </w:r>
      <w:r w:rsidRPr="00E02E59">
        <w:t>Kansas (-4.24%) and Nebraska (-2.7</w:t>
      </w:r>
      <w:r w:rsidR="00800E30">
        <w:t>3</w:t>
      </w:r>
      <w:r w:rsidRPr="00E02E59">
        <w:t xml:space="preserve">%) face notable decreases. The South, characterized by already higher temperatures, largely experiences negative impacts, with </w:t>
      </w:r>
      <w:r w:rsidR="00E17CF4">
        <w:t xml:space="preserve">counties in </w:t>
      </w:r>
      <w:r w:rsidRPr="00E02E59">
        <w:t xml:space="preserve">Texas (-8.13%), Louisiana (-7.78%), and Oklahoma (-7.07%) observing the sharpest declines in yields, possibly exacerbated by increased heat and drought conditions. In the West, outcomes are diverse; </w:t>
      </w:r>
      <w:r w:rsidR="00BB1640">
        <w:t xml:space="preserve">counties in </w:t>
      </w:r>
      <w:r w:rsidRPr="00E02E59">
        <w:t>Oregon (+0.58%) and Washington (+0.4</w:t>
      </w:r>
      <w:r w:rsidR="00800E30">
        <w:t>8</w:t>
      </w:r>
      <w:r w:rsidRPr="00E02E59">
        <w:t xml:space="preserve">%) see minor improvements, suggesting some areas may benefit </w:t>
      </w:r>
      <w:r w:rsidRPr="00E02E59">
        <w:lastRenderedPageBreak/>
        <w:t xml:space="preserve">from modest warming, whereas </w:t>
      </w:r>
      <w:r w:rsidR="00BB1640">
        <w:t xml:space="preserve">counties in </w:t>
      </w:r>
      <w:r w:rsidRPr="00E02E59">
        <w:t>Arizona (-6.99%) and Nevada (-1.24%), located in arid regions, encounter declines.</w:t>
      </w:r>
    </w:p>
    <w:p w14:paraId="17E08545" w14:textId="5D0FD5A6" w:rsidR="00E02E59" w:rsidRDefault="00800E30" w:rsidP="001620ED">
      <w:r>
        <w:t xml:space="preserve">Figure 6 also </w:t>
      </w:r>
      <w:r w:rsidR="001620ED">
        <w:t xml:space="preserve">illustrates the geographical changes in alfalfa yields with temperature increases across various </w:t>
      </w:r>
      <w:r w:rsidR="00E232EC">
        <w:t>regions</w:t>
      </w:r>
      <w:r w:rsidR="001620ED">
        <w:t xml:space="preserve">. The impact on yields varies significantly with increasing temperature gradients. For example, with only a 0.5°C increase, </w:t>
      </w:r>
      <w:r w:rsidR="00652F46">
        <w:t>counties in states like</w:t>
      </w:r>
      <w:r w:rsidR="001620ED">
        <w:t xml:space="preserve"> Connecticut, Maine, and Massachusetts experience an increase in yields, while</w:t>
      </w:r>
      <w:r w:rsidR="0009795B">
        <w:t xml:space="preserve"> counties in</w:t>
      </w:r>
      <w:r w:rsidR="001620ED">
        <w:t xml:space="preserve"> southern states such as Alabama, Arizona, and Florida see a notable decrease, with Florida experiencing a yield drop of 2.77%. As the temperature increase reaches 1.5°C, </w:t>
      </w:r>
      <w:r w:rsidR="00652F46">
        <w:t xml:space="preserve">counties in </w:t>
      </w:r>
      <w:r w:rsidR="001620ED">
        <w:t xml:space="preserve">Arizona and Florida show dramatic decreases in yields by 10.57% and 9.65%, respectively. The negative impact intensifies at a 3°C increase, particularly affecting states like Florida and Texas with </w:t>
      </w:r>
      <w:r w:rsidR="007723E3">
        <w:t xml:space="preserve">county </w:t>
      </w:r>
      <w:r w:rsidR="001620ED">
        <w:t xml:space="preserve">yield reductions </w:t>
      </w:r>
      <w:r w:rsidR="00835D6B">
        <w:t>averaging</w:t>
      </w:r>
      <w:r w:rsidR="001620ED">
        <w:t xml:space="preserve"> 22.55% and 25.49%, respectively.</w:t>
      </w:r>
      <w:r>
        <w:t xml:space="preserve"> </w:t>
      </w:r>
      <w:r w:rsidR="001620ED">
        <w:t xml:space="preserve">Interestingly, northern states such as Connecticut, Maine, and Massachusetts continue to see yield increases or less severe decreases up to a 2°C temperature increase, after which the impact becomes neutral or negative. By contrast, southern and central states experience accelerating declines as temperatures rise, with Missouri and Kansas notably impacted by 15.83% and 12.57% decreases at a 3°C increase, coinciding with these states being major cattle-producing areas. </w:t>
      </w:r>
      <w:r w:rsidR="00A62C64">
        <w:t>These estimates are</w:t>
      </w:r>
      <w:r w:rsidR="001620ED">
        <w:t xml:space="preserve"> indicative of broader regional vulnerabilities</w:t>
      </w:r>
      <w:r w:rsidR="00B3321A">
        <w:t xml:space="preserve"> of livestock </w:t>
      </w:r>
      <w:r w:rsidR="00C03B39">
        <w:t>production as</w:t>
      </w:r>
      <w:r w:rsidR="001620ED">
        <w:t xml:space="preserve"> the temperature continues to rise.</w:t>
      </w:r>
    </w:p>
    <w:p w14:paraId="4D4BC22B" w14:textId="05413D1C" w:rsidR="007D07FA" w:rsidRDefault="004452C5" w:rsidP="007D07FA">
      <w:pPr>
        <w:pStyle w:val="Heading2"/>
        <w:tabs>
          <w:tab w:val="left" w:pos="1978"/>
        </w:tabs>
      </w:pPr>
      <w:r>
        <w:t>4.</w:t>
      </w:r>
      <w:r w:rsidR="00FF49C4">
        <w:t>4</w:t>
      </w:r>
      <w:r>
        <w:t xml:space="preserve"> </w:t>
      </w:r>
      <w:r w:rsidR="007D07FA" w:rsidRPr="00FF30A7">
        <w:t xml:space="preserve">Impact of warming on </w:t>
      </w:r>
      <w:r w:rsidR="00C210F6">
        <w:t>a</w:t>
      </w:r>
      <w:r w:rsidR="007D07FA">
        <w:t xml:space="preserve">lfalfa </w:t>
      </w:r>
      <w:r w:rsidR="00C210F6">
        <w:rPr>
          <w:b w:val="0"/>
          <w:bCs/>
        </w:rPr>
        <w:t>h</w:t>
      </w:r>
      <w:r w:rsidR="00C210F6" w:rsidRPr="00625DD3">
        <w:rPr>
          <w:bCs/>
        </w:rPr>
        <w:t xml:space="preserve">ay </w:t>
      </w:r>
      <w:r w:rsidR="00C210F6">
        <w:t>a</w:t>
      </w:r>
      <w:r w:rsidR="007D07FA">
        <w:t xml:space="preserve">vailability </w:t>
      </w:r>
    </w:p>
    <w:p w14:paraId="3E5DAA38" w14:textId="77777777" w:rsidR="00B81937" w:rsidRDefault="00B81937" w:rsidP="00E408A0"/>
    <w:p w14:paraId="3CDDBBAF" w14:textId="6837BFB3" w:rsidR="00A960CA" w:rsidRPr="00A960CA" w:rsidRDefault="004452C5" w:rsidP="00A960CA">
      <w:pPr>
        <w:pStyle w:val="Heading2"/>
        <w:tabs>
          <w:tab w:val="left" w:pos="1978"/>
        </w:tabs>
      </w:pPr>
      <w:r>
        <w:t>4.</w:t>
      </w:r>
      <w:r w:rsidR="00AE6C2A">
        <w:t>5</w:t>
      </w:r>
      <w:r>
        <w:t xml:space="preserve"> </w:t>
      </w:r>
      <w:r w:rsidR="00A960CA" w:rsidRPr="00A960CA">
        <w:t xml:space="preserve">Geographical </w:t>
      </w:r>
      <w:r w:rsidR="009062E0">
        <w:t>a</w:t>
      </w:r>
      <w:r w:rsidR="00A960CA" w:rsidRPr="00A960CA">
        <w:t xml:space="preserve">daptation of US </w:t>
      </w:r>
      <w:r w:rsidR="009062E0">
        <w:t>c</w:t>
      </w:r>
      <w:r w:rsidR="00A960CA" w:rsidRPr="00A960CA">
        <w:t xml:space="preserve">attle </w:t>
      </w:r>
      <w:r w:rsidR="009062E0">
        <w:t>p</w:t>
      </w:r>
      <w:r w:rsidR="00A960CA" w:rsidRPr="00A960CA">
        <w:t xml:space="preserve">roduction </w:t>
      </w:r>
    </w:p>
    <w:p w14:paraId="33342C5A" w14:textId="77777777" w:rsidR="00B81937" w:rsidRDefault="00B81937" w:rsidP="00E408A0"/>
    <w:p w14:paraId="69423F6E" w14:textId="77777777" w:rsidR="00B81937" w:rsidRDefault="00B81937" w:rsidP="00E408A0"/>
    <w:p w14:paraId="61C3766E" w14:textId="77777777" w:rsidR="00B81937" w:rsidRPr="005B571B" w:rsidRDefault="00B81937" w:rsidP="00E408A0"/>
    <w:p w14:paraId="2DB3AB56" w14:textId="2849EA84" w:rsidR="00A1269F" w:rsidRDefault="00222CF7" w:rsidP="00E408A0">
      <w:pPr>
        <w:pStyle w:val="Heading1"/>
      </w:pPr>
      <w:r>
        <w:t xml:space="preserve">5. </w:t>
      </w:r>
      <w:r w:rsidR="00A1269F" w:rsidRPr="00C47481">
        <w:t>Conclusion</w:t>
      </w:r>
    </w:p>
    <w:p w14:paraId="5691AC7D" w14:textId="77777777" w:rsidR="005B571B" w:rsidRDefault="005B571B" w:rsidP="00E408A0"/>
    <w:p w14:paraId="007F199B" w14:textId="77777777" w:rsidR="005B571B" w:rsidRDefault="005B571B" w:rsidP="00E408A0"/>
    <w:p w14:paraId="298F2E42" w14:textId="77777777" w:rsidR="005B571B" w:rsidRPr="005B571B" w:rsidRDefault="005B571B" w:rsidP="00E408A0"/>
    <w:p w14:paraId="7CC163D3" w14:textId="0CBD7AE1" w:rsidR="00A1269F" w:rsidRPr="00C47481" w:rsidRDefault="009B35F1" w:rsidP="00E408A0">
      <w:pPr>
        <w:pStyle w:val="Heading1"/>
      </w:pPr>
      <w:r w:rsidRPr="00C47481">
        <w:t>Re</w:t>
      </w:r>
      <w:r w:rsidR="00A1269F" w:rsidRPr="00C47481">
        <w:t xml:space="preserve">ferences </w:t>
      </w:r>
    </w:p>
    <w:p w14:paraId="26FAD311" w14:textId="2F570048" w:rsidR="00414170" w:rsidRPr="00C47481" w:rsidRDefault="00A1269F" w:rsidP="00B0012F">
      <w:pPr>
        <w:spacing w:line="240" w:lineRule="auto"/>
        <w:jc w:val="left"/>
        <w:rPr>
          <w:noProof/>
        </w:rPr>
      </w:pPr>
      <w:r w:rsidRPr="00C47481">
        <w:fldChar w:fldCharType="begin" w:fldLock="1"/>
      </w:r>
      <w:r w:rsidRPr="00C47481">
        <w:instrText xml:space="preserve">ADDIN Mendeley Bibliography CSL_BIBLIOGRAPHY </w:instrText>
      </w:r>
      <w:r w:rsidRPr="00C47481">
        <w:fldChar w:fldCharType="separate"/>
      </w:r>
      <w:r w:rsidR="00414170" w:rsidRPr="00C47481">
        <w:rPr>
          <w:noProof/>
        </w:rPr>
        <w:t xml:space="preserve">1. </w:t>
      </w:r>
      <w:r w:rsidR="00414170" w:rsidRPr="00C47481">
        <w:rPr>
          <w:noProof/>
        </w:rPr>
        <w:tab/>
        <w:t>Malikov E, Miao R, Zhang J. Distributional and temporal heterogeneity in the climate change effects on U.S. agriculture. J Environ Econ Manage. 2020;104: 102386. doi:10.1016/j.jeem.2020.102386</w:t>
      </w:r>
    </w:p>
    <w:p w14:paraId="7F7FF243" w14:textId="77777777" w:rsidR="00414170" w:rsidRPr="00C47481" w:rsidRDefault="00414170" w:rsidP="00B0012F">
      <w:pPr>
        <w:spacing w:line="240" w:lineRule="auto"/>
        <w:jc w:val="left"/>
        <w:rPr>
          <w:noProof/>
        </w:rPr>
      </w:pPr>
      <w:r w:rsidRPr="00C47481">
        <w:rPr>
          <w:noProof/>
        </w:rPr>
        <w:t xml:space="preserve">2. </w:t>
      </w:r>
      <w:r w:rsidRPr="00C47481">
        <w:rPr>
          <w:noProof/>
        </w:rPr>
        <w:tab/>
        <w:t>Brown ME, Antle JM, Backlund P, Carr ER, Easterling WE, Walsh MK, et al. Climate Change, Global Food Security, and the U.S. Food System. Washington, DC; 2015. doi:10.7930/J0862DC7</w:t>
      </w:r>
    </w:p>
    <w:p w14:paraId="6A7DF24B" w14:textId="77777777" w:rsidR="00414170" w:rsidRPr="00C47481" w:rsidRDefault="00414170" w:rsidP="00B0012F">
      <w:pPr>
        <w:spacing w:line="240" w:lineRule="auto"/>
        <w:jc w:val="left"/>
        <w:rPr>
          <w:noProof/>
        </w:rPr>
      </w:pPr>
      <w:r w:rsidRPr="00C47481">
        <w:rPr>
          <w:noProof/>
        </w:rPr>
        <w:t xml:space="preserve">3. </w:t>
      </w:r>
      <w:r w:rsidRPr="00C47481">
        <w:rPr>
          <w:noProof/>
        </w:rPr>
        <w:tab/>
        <w:t>Gauly M, Bollwein H, Breves G, Brügemann K, Dänicke S, Daş G, et al. Future consequences and challenges for dairy cow production systems arising from climate change in Central Europe – a review. Animal. 2013;7: 843–859. doi:10.1017/S1751731112002352</w:t>
      </w:r>
    </w:p>
    <w:p w14:paraId="7CC50E1F" w14:textId="77777777" w:rsidR="00414170" w:rsidRPr="00C47481" w:rsidRDefault="00414170" w:rsidP="00B0012F">
      <w:pPr>
        <w:spacing w:line="240" w:lineRule="auto"/>
        <w:jc w:val="left"/>
        <w:rPr>
          <w:noProof/>
        </w:rPr>
      </w:pPr>
      <w:r w:rsidRPr="00C47481">
        <w:rPr>
          <w:noProof/>
        </w:rPr>
        <w:t xml:space="preserve">4. </w:t>
      </w:r>
      <w:r w:rsidRPr="00C47481">
        <w:rPr>
          <w:noProof/>
        </w:rPr>
        <w:tab/>
        <w:t>Kemper N, Flanders A, Watkins B, Popp M. Impact of the 2012 Drought on Field Crops and Cattle Production in Arkansas - Preliminary Report. In: Department of Agriculture, Research and Extension, University of Arkansas System [Internet]. 2013. Available: https://www.uaex.edu/environment-nature/disaster/drought-effects/Ark_Drought_Report_August2012.pdf</w:t>
      </w:r>
    </w:p>
    <w:p w14:paraId="2EBBA42A" w14:textId="77777777" w:rsidR="00414170" w:rsidRPr="00C47481" w:rsidRDefault="00414170" w:rsidP="00B0012F">
      <w:pPr>
        <w:spacing w:line="240" w:lineRule="auto"/>
        <w:jc w:val="left"/>
        <w:rPr>
          <w:noProof/>
        </w:rPr>
      </w:pPr>
      <w:r w:rsidRPr="00C47481">
        <w:rPr>
          <w:noProof/>
        </w:rPr>
        <w:t xml:space="preserve">5. </w:t>
      </w:r>
      <w:r w:rsidRPr="00C47481">
        <w:rPr>
          <w:noProof/>
        </w:rPr>
        <w:tab/>
        <w:t>Fuquay JW. Heat Stress as it Affects Animal Production. J Anim Sci. 1981;52: 164–174. doi:10.2527/jas1981.521164x</w:t>
      </w:r>
    </w:p>
    <w:p w14:paraId="6F959E1F" w14:textId="77777777" w:rsidR="00414170" w:rsidRPr="00C47481" w:rsidRDefault="00414170" w:rsidP="00B0012F">
      <w:pPr>
        <w:spacing w:line="240" w:lineRule="auto"/>
        <w:jc w:val="left"/>
        <w:rPr>
          <w:noProof/>
        </w:rPr>
      </w:pPr>
      <w:r w:rsidRPr="00C47481">
        <w:rPr>
          <w:noProof/>
        </w:rPr>
        <w:t xml:space="preserve">6. </w:t>
      </w:r>
      <w:r w:rsidRPr="00C47481">
        <w:rPr>
          <w:noProof/>
        </w:rPr>
        <w:tab/>
        <w:t>St-Pierre NR, Cobanov B, Schnitkey G. Economic Losses from Heat Stress by US Livestock Industries. J Dairy Sci. 2003;86: E52–E77. doi:10.3168/jds.S0022-0302(03)74040-5</w:t>
      </w:r>
    </w:p>
    <w:p w14:paraId="59DFF44F" w14:textId="77777777" w:rsidR="00414170" w:rsidRPr="00C47481" w:rsidRDefault="00414170" w:rsidP="00B0012F">
      <w:pPr>
        <w:spacing w:line="240" w:lineRule="auto"/>
        <w:jc w:val="left"/>
        <w:rPr>
          <w:noProof/>
        </w:rPr>
      </w:pPr>
      <w:r w:rsidRPr="00C47481">
        <w:rPr>
          <w:noProof/>
        </w:rPr>
        <w:t xml:space="preserve">7. </w:t>
      </w:r>
      <w:r w:rsidRPr="00C47481">
        <w:rPr>
          <w:noProof/>
        </w:rPr>
        <w:tab/>
        <w:t>Key N, Sneeringer S. Potential effects of climate change on the productivity of U.S. dairies. Am J Agric Econ. 2014. doi:10.1093/ajae/aau002</w:t>
      </w:r>
    </w:p>
    <w:p w14:paraId="7FAC6E03" w14:textId="77777777" w:rsidR="00414170" w:rsidRPr="00C47481" w:rsidRDefault="00414170" w:rsidP="00B0012F">
      <w:pPr>
        <w:spacing w:line="240" w:lineRule="auto"/>
        <w:jc w:val="left"/>
        <w:rPr>
          <w:noProof/>
        </w:rPr>
      </w:pPr>
      <w:r w:rsidRPr="00C47481">
        <w:rPr>
          <w:noProof/>
        </w:rPr>
        <w:t xml:space="preserve">8. </w:t>
      </w:r>
      <w:r w:rsidRPr="00C47481">
        <w:rPr>
          <w:noProof/>
        </w:rPr>
        <w:tab/>
        <w:t>Hurt C. The Economic Importance of U.S. Animal Agriculture. In: farmdoc daily (9):158, Department of Agricultural and Consumer Economics, University of Illinois at Urbana-Champaign, [Internet]. 2019. Available: https://farmdocdaily.illinois.edu/2019/08/the-economic-importance-of-u-s-animal-agriculture.html</w:t>
      </w:r>
    </w:p>
    <w:p w14:paraId="150557D6" w14:textId="77777777" w:rsidR="00414170" w:rsidRPr="00C47481" w:rsidRDefault="00414170" w:rsidP="00B0012F">
      <w:pPr>
        <w:spacing w:line="240" w:lineRule="auto"/>
        <w:jc w:val="left"/>
        <w:rPr>
          <w:noProof/>
        </w:rPr>
      </w:pPr>
      <w:r w:rsidRPr="00C47481">
        <w:rPr>
          <w:noProof/>
        </w:rPr>
        <w:lastRenderedPageBreak/>
        <w:t xml:space="preserve">9. </w:t>
      </w:r>
      <w:r w:rsidRPr="00C47481">
        <w:rPr>
          <w:noProof/>
        </w:rPr>
        <w:tab/>
        <w:t>Morrison RM, Melton A, Kassel K. Ag and Food Sectors and the Economy. In: ERS, Ag and Food Statistics: Charting the Essentials [Internet]. 2019. Available: https://www.ers.usda.gov/data-products/ag-and-food-statistics-charting-the-essentials/ag-and-food-sectors-and-the-economy/</w:t>
      </w:r>
    </w:p>
    <w:p w14:paraId="09077234" w14:textId="77777777" w:rsidR="00414170" w:rsidRPr="00C47481" w:rsidRDefault="00414170" w:rsidP="00B0012F">
      <w:pPr>
        <w:spacing w:line="240" w:lineRule="auto"/>
        <w:jc w:val="left"/>
        <w:rPr>
          <w:noProof/>
        </w:rPr>
      </w:pPr>
      <w:r w:rsidRPr="00C47481">
        <w:rPr>
          <w:noProof/>
        </w:rPr>
        <w:t xml:space="preserve">10. </w:t>
      </w:r>
      <w:r w:rsidRPr="00C47481">
        <w:rPr>
          <w:noProof/>
        </w:rPr>
        <w:tab/>
        <w:t>Simmons WM, Rizek RL. Performance of the Livestock-Feed-Grain Sector. J Farm Econ. 1966;48: 1455. doi:10.2307/1237161</w:t>
      </w:r>
    </w:p>
    <w:p w14:paraId="7DB4F6F9" w14:textId="77777777" w:rsidR="00414170" w:rsidRPr="00C47481" w:rsidRDefault="00414170" w:rsidP="00B0012F">
      <w:pPr>
        <w:spacing w:line="240" w:lineRule="auto"/>
        <w:jc w:val="left"/>
        <w:rPr>
          <w:noProof/>
        </w:rPr>
      </w:pPr>
      <w:r w:rsidRPr="00C47481">
        <w:rPr>
          <w:noProof/>
        </w:rPr>
        <w:t xml:space="preserve">11. </w:t>
      </w:r>
      <w:r w:rsidRPr="00C47481">
        <w:rPr>
          <w:noProof/>
        </w:rPr>
        <w:tab/>
        <w:t xml:space="preserve">Marsh JM. Cross-sector relationships between the corn feed grains and livestock and poultry economies. J Agric Resour Econ. 2007;32: 93–114. </w:t>
      </w:r>
    </w:p>
    <w:p w14:paraId="2273B69B" w14:textId="77777777" w:rsidR="00414170" w:rsidRPr="00C47481" w:rsidRDefault="00414170" w:rsidP="00B0012F">
      <w:pPr>
        <w:spacing w:line="240" w:lineRule="auto"/>
        <w:jc w:val="left"/>
        <w:rPr>
          <w:noProof/>
        </w:rPr>
      </w:pPr>
      <w:r w:rsidRPr="00C47481">
        <w:rPr>
          <w:noProof/>
        </w:rPr>
        <w:t xml:space="preserve">12. </w:t>
      </w:r>
      <w:r w:rsidRPr="00C47481">
        <w:rPr>
          <w:noProof/>
        </w:rPr>
        <w:tab/>
        <w:t>Capehart T. Feedgrains Sector at a Glance. 2019. Available: https://www.ers.usda.gov/topics/crops/corn-and-other-feedgrains/feedgrains-sector-at-a-glance/#:~:targetText=Corn is the primary U.S.,energy ingredient in livestock feed.</w:t>
      </w:r>
    </w:p>
    <w:p w14:paraId="4C310D6F" w14:textId="77777777" w:rsidR="00414170" w:rsidRPr="00C47481" w:rsidRDefault="00414170" w:rsidP="00B0012F">
      <w:pPr>
        <w:spacing w:line="240" w:lineRule="auto"/>
        <w:jc w:val="left"/>
        <w:rPr>
          <w:noProof/>
        </w:rPr>
      </w:pPr>
      <w:r w:rsidRPr="00C47481">
        <w:rPr>
          <w:noProof/>
        </w:rPr>
        <w:t xml:space="preserve">13. </w:t>
      </w:r>
      <w:r w:rsidRPr="00C47481">
        <w:rPr>
          <w:noProof/>
        </w:rPr>
        <w:tab/>
        <w:t>United States Department of Agriculture [USDA]. USDA - National Agricultural Statistics Service, Quick Stats 2.0. 2019 [cited 5 May 2019]. Available: http://quickstats.nass.usda.gov/</w:t>
      </w:r>
    </w:p>
    <w:p w14:paraId="10DD2CD9" w14:textId="77777777" w:rsidR="00414170" w:rsidRPr="00C47481" w:rsidRDefault="00414170" w:rsidP="00B0012F">
      <w:pPr>
        <w:spacing w:line="240" w:lineRule="auto"/>
        <w:jc w:val="left"/>
        <w:rPr>
          <w:noProof/>
        </w:rPr>
      </w:pPr>
      <w:r w:rsidRPr="00C47481">
        <w:rPr>
          <w:noProof/>
        </w:rPr>
        <w:t xml:space="preserve">14. </w:t>
      </w:r>
      <w:r w:rsidRPr="00C47481">
        <w:rPr>
          <w:noProof/>
        </w:rPr>
        <w:tab/>
        <w:t>Intergovernmental Panel on Climate Change (IPCC). Climate Change 2007: Impacts, Adaptation and Vulnerability. Contribution of Working Group II to the Fourth Assessment Report of the Intergovernmental Panel on Climate Change. Parry ML, Canziani OF, Palutikof JP, Linden PJ van der, Hanson CE, editors. Cambridge: Cambridge University Press; 2007. Available: http://www.cambridge.org/9780521880107</w:t>
      </w:r>
    </w:p>
    <w:p w14:paraId="100E4C4A" w14:textId="77777777" w:rsidR="00414170" w:rsidRPr="00C47481" w:rsidRDefault="00414170" w:rsidP="00B0012F">
      <w:pPr>
        <w:spacing w:line="240" w:lineRule="auto"/>
        <w:jc w:val="left"/>
        <w:rPr>
          <w:noProof/>
        </w:rPr>
      </w:pPr>
      <w:r w:rsidRPr="00C47481">
        <w:rPr>
          <w:noProof/>
        </w:rPr>
        <w:t xml:space="preserve">15. </w:t>
      </w:r>
      <w:r w:rsidRPr="00C47481">
        <w:rPr>
          <w:noProof/>
        </w:rPr>
        <w:tab/>
        <w:t>Intergovernmental Panel on Climate Change (IPCC). Climate Change 2013 the Physical Science Basis: Working Group I Contribution to the Fifth Assessment Report of the Intergovernmental Panel on Climate Change. Stocker TF, Qin D, Plattner GK, Tignor MMB, Allen SK, Boschung J, et al., editors. Cambridge: Cambridge University Press; 2013. doi:10.1017/CBO9781107415324</w:t>
      </w:r>
    </w:p>
    <w:p w14:paraId="0F9162FD" w14:textId="77777777" w:rsidR="00414170" w:rsidRPr="00C47481" w:rsidRDefault="00414170" w:rsidP="00B0012F">
      <w:pPr>
        <w:spacing w:line="240" w:lineRule="auto"/>
        <w:jc w:val="left"/>
        <w:rPr>
          <w:noProof/>
        </w:rPr>
      </w:pPr>
      <w:r w:rsidRPr="00C47481">
        <w:rPr>
          <w:noProof/>
        </w:rPr>
        <w:t xml:space="preserve">16. </w:t>
      </w:r>
      <w:r w:rsidRPr="00C47481">
        <w:rPr>
          <w:noProof/>
        </w:rPr>
        <w:tab/>
        <w:t>Schlenker W, Roberts MJ. Nonlinear temperature effects indicate severe damages to U.S. crop yields under climate change. Proc Natl Acad Sci U S A. 2009. doi:10.1073/pnas.0906865106</w:t>
      </w:r>
    </w:p>
    <w:p w14:paraId="578F4EEA" w14:textId="77777777" w:rsidR="00414170" w:rsidRPr="00C47481" w:rsidRDefault="00414170" w:rsidP="00B0012F">
      <w:pPr>
        <w:spacing w:line="240" w:lineRule="auto"/>
        <w:jc w:val="left"/>
        <w:rPr>
          <w:noProof/>
        </w:rPr>
      </w:pPr>
      <w:r w:rsidRPr="00C47481">
        <w:rPr>
          <w:noProof/>
        </w:rPr>
        <w:t xml:space="preserve">17. </w:t>
      </w:r>
      <w:r w:rsidRPr="00C47481">
        <w:rPr>
          <w:noProof/>
        </w:rPr>
        <w:tab/>
        <w:t>Tack J, Barkley A, Nalley LL. Effect of warming temperatures on US wheat yields. Proc Natl Acad Sci. 2015;112: 6931–6936. doi:10.1073/pnas.1415181112</w:t>
      </w:r>
    </w:p>
    <w:p w14:paraId="2FD33A08" w14:textId="77777777" w:rsidR="00414170" w:rsidRPr="00C47481" w:rsidRDefault="00414170" w:rsidP="00B0012F">
      <w:pPr>
        <w:spacing w:line="240" w:lineRule="auto"/>
        <w:jc w:val="left"/>
        <w:rPr>
          <w:noProof/>
        </w:rPr>
      </w:pPr>
      <w:r w:rsidRPr="00C47481">
        <w:rPr>
          <w:noProof/>
        </w:rPr>
        <w:t xml:space="preserve">18. </w:t>
      </w:r>
      <w:r w:rsidRPr="00C47481">
        <w:rPr>
          <w:noProof/>
        </w:rPr>
        <w:tab/>
        <w:t>Zhang P, Zhang J, Chen M. Economic impacts of climate change on agriculture: The importance of additional climatic variables other than temperature and precipitation. J Environ Econ Manage. 2017;83: 8–31. doi:10.1016/j.jeem.2016.12.001</w:t>
      </w:r>
    </w:p>
    <w:p w14:paraId="55660246" w14:textId="77777777" w:rsidR="00414170" w:rsidRPr="00C47481" w:rsidRDefault="00414170" w:rsidP="00B0012F">
      <w:pPr>
        <w:spacing w:line="240" w:lineRule="auto"/>
        <w:jc w:val="left"/>
        <w:rPr>
          <w:noProof/>
        </w:rPr>
      </w:pPr>
      <w:r w:rsidRPr="00C47481">
        <w:rPr>
          <w:noProof/>
        </w:rPr>
        <w:t xml:space="preserve">19. </w:t>
      </w:r>
      <w:r w:rsidRPr="00C47481">
        <w:rPr>
          <w:noProof/>
        </w:rPr>
        <w:tab/>
        <w:t>Shew AM, Tack JB, Nalley LL, Chaminuka P. Yield reduction under climate warming varies among wheat cultivars in South Africa. Nat Commun. 2020;11: 4408. doi:10.1038/s41467-020-18317-8</w:t>
      </w:r>
    </w:p>
    <w:p w14:paraId="45720834" w14:textId="1CCD5AB4" w:rsidR="00414170" w:rsidRPr="00C47481" w:rsidRDefault="00414170" w:rsidP="00B0012F">
      <w:pPr>
        <w:spacing w:line="240" w:lineRule="auto"/>
        <w:jc w:val="left"/>
        <w:rPr>
          <w:noProof/>
        </w:rPr>
      </w:pPr>
      <w:r w:rsidRPr="00C47481">
        <w:rPr>
          <w:noProof/>
        </w:rPr>
        <w:t xml:space="preserve">20. </w:t>
      </w:r>
      <w:r w:rsidRPr="00C47481">
        <w:rPr>
          <w:noProof/>
        </w:rPr>
        <w:tab/>
        <w:t>USDA National Agricultural Statistics Service. CropScape - Cropland Data Layer (2019 release). 2019. Available: https://nassgeodata.gmu.edu/CropScape/</w:t>
      </w:r>
    </w:p>
    <w:p w14:paraId="1508295E" w14:textId="7527C70C" w:rsidR="00EF4A0D" w:rsidRPr="00C47481" w:rsidRDefault="00EF4A0D" w:rsidP="00B0012F">
      <w:pPr>
        <w:spacing w:line="240" w:lineRule="auto"/>
        <w:jc w:val="left"/>
        <w:rPr>
          <w:noProof/>
        </w:rPr>
      </w:pPr>
    </w:p>
    <w:p w14:paraId="2A8F516A" w14:textId="77777777" w:rsidR="00085110" w:rsidRDefault="00085110" w:rsidP="00B0012F">
      <w:pPr>
        <w:spacing w:line="240" w:lineRule="auto"/>
        <w:jc w:val="left"/>
        <w:rPr>
          <w:noProof/>
        </w:rPr>
        <w:sectPr w:rsidR="00085110" w:rsidSect="00EA30C9">
          <w:pgSz w:w="12240" w:h="15840"/>
          <w:pgMar w:top="1440" w:right="1440" w:bottom="1440" w:left="1440" w:header="720" w:footer="720" w:gutter="0"/>
          <w:cols w:space="720"/>
          <w:docGrid w:linePitch="360"/>
        </w:sectPr>
      </w:pPr>
    </w:p>
    <w:p w14:paraId="1AFB0634" w14:textId="42EE61C1" w:rsidR="00A51718" w:rsidRDefault="00A1269F" w:rsidP="00B0012F">
      <w:pPr>
        <w:pStyle w:val="Heading1"/>
        <w:rPr>
          <w:rFonts w:eastAsia="Times New Roman"/>
        </w:rPr>
      </w:pPr>
      <w:r w:rsidRPr="00C47481">
        <w:lastRenderedPageBreak/>
        <w:fldChar w:fldCharType="end"/>
      </w:r>
      <w:r w:rsidR="00570BD1" w:rsidRPr="00C47481">
        <w:rPr>
          <w:rFonts w:eastAsia="Times New Roman"/>
        </w:rPr>
        <w:t>T</w:t>
      </w:r>
      <w:r w:rsidR="00A35541" w:rsidRPr="00C47481">
        <w:rPr>
          <w:rFonts w:eastAsia="Times New Roman"/>
        </w:rPr>
        <w:t>a</w:t>
      </w:r>
      <w:r w:rsidR="00570BD1" w:rsidRPr="00C47481">
        <w:rPr>
          <w:rFonts w:eastAsia="Times New Roman"/>
        </w:rPr>
        <w:t xml:space="preserve">ble and Figures </w:t>
      </w:r>
    </w:p>
    <w:p w14:paraId="76A83DF6" w14:textId="44004A16" w:rsidR="00631517" w:rsidRDefault="00631517" w:rsidP="00E408A0">
      <w:pPr>
        <w:pStyle w:val="Heading4"/>
      </w:pPr>
      <w:r w:rsidRPr="00633D64">
        <w:t xml:space="preserve">Table 1: Means and </w:t>
      </w:r>
      <w:r w:rsidR="00B85C9A">
        <w:t>s</w:t>
      </w:r>
      <w:r w:rsidRPr="00633D64">
        <w:t xml:space="preserve">tandard </w:t>
      </w:r>
      <w:r w:rsidR="00B85C9A">
        <w:t>d</w:t>
      </w:r>
      <w:r w:rsidRPr="00633D64">
        <w:t>eviations of</w:t>
      </w:r>
      <w:r>
        <w:t xml:space="preserve"> </w:t>
      </w:r>
      <w:r w:rsidR="00B85C9A">
        <w:t>c</w:t>
      </w:r>
      <w:r w:rsidR="00C57892">
        <w:t>ounty level a</w:t>
      </w:r>
      <w:r w:rsidR="00C57892">
        <w:rPr>
          <w:rFonts w:eastAsia="Times New Roman"/>
        </w:rPr>
        <w:t>lfalfa production</w:t>
      </w:r>
      <w:r w:rsidR="00B85C9A">
        <w:rPr>
          <w:rFonts w:eastAsia="Times New Roman"/>
        </w:rPr>
        <w:t xml:space="preserve"> </w:t>
      </w:r>
      <w:r w:rsidR="00090CFF">
        <w:rPr>
          <w:rFonts w:eastAsia="Times New Roman"/>
        </w:rPr>
        <w:t xml:space="preserve">and </w:t>
      </w:r>
      <w:r w:rsidR="008401A4">
        <w:rPr>
          <w:rFonts w:eastAsia="Times New Roman"/>
        </w:rPr>
        <w:t>weather</w:t>
      </w:r>
      <w:r w:rsidR="00090CFF">
        <w:rPr>
          <w:rFonts w:eastAsia="Times New Roman"/>
        </w:rPr>
        <w:t xml:space="preserve"> </w:t>
      </w:r>
    </w:p>
    <w:tbl>
      <w:tblPr>
        <w:tblW w:w="0" w:type="auto"/>
        <w:tblLook w:val="04A0" w:firstRow="1" w:lastRow="0" w:firstColumn="1" w:lastColumn="0" w:noHBand="0" w:noVBand="1"/>
      </w:tblPr>
      <w:tblGrid>
        <w:gridCol w:w="5100"/>
        <w:gridCol w:w="2183"/>
      </w:tblGrid>
      <w:tr w:rsidR="00990D06" w:rsidRPr="00990D06" w14:paraId="316B7804" w14:textId="77777777" w:rsidTr="00B04DF5">
        <w:trPr>
          <w:trHeight w:val="300"/>
        </w:trPr>
        <w:tc>
          <w:tcPr>
            <w:tcW w:w="0" w:type="auto"/>
            <w:tcBorders>
              <w:top w:val="single" w:sz="4" w:space="0" w:color="auto"/>
              <w:left w:val="nil"/>
              <w:bottom w:val="single" w:sz="4" w:space="0" w:color="auto"/>
              <w:right w:val="nil"/>
            </w:tcBorders>
            <w:shd w:val="clear" w:color="auto" w:fill="auto"/>
            <w:noWrap/>
            <w:vAlign w:val="center"/>
            <w:hideMark/>
          </w:tcPr>
          <w:p w14:paraId="3C1E0CD1" w14:textId="1B5144D1" w:rsidR="00990D06" w:rsidRPr="00C9115D" w:rsidRDefault="00990D06" w:rsidP="00602899">
            <w:pPr>
              <w:spacing w:after="0" w:line="240" w:lineRule="auto"/>
            </w:pPr>
            <w:r w:rsidRPr="00990D06">
              <w:t>Variables</w:t>
            </w:r>
          </w:p>
        </w:tc>
        <w:tc>
          <w:tcPr>
            <w:tcW w:w="0" w:type="auto"/>
            <w:tcBorders>
              <w:top w:val="single" w:sz="4" w:space="0" w:color="auto"/>
              <w:left w:val="nil"/>
              <w:bottom w:val="single" w:sz="4" w:space="0" w:color="auto"/>
              <w:right w:val="nil"/>
            </w:tcBorders>
            <w:shd w:val="clear" w:color="auto" w:fill="auto"/>
            <w:noWrap/>
            <w:vAlign w:val="center"/>
            <w:hideMark/>
          </w:tcPr>
          <w:p w14:paraId="776655F4" w14:textId="71188A60" w:rsidR="00990D06" w:rsidRPr="00990D06" w:rsidRDefault="00990D06" w:rsidP="00602899">
            <w:pPr>
              <w:spacing w:after="0" w:line="240" w:lineRule="auto"/>
            </w:pPr>
            <w:r w:rsidRPr="00990D06">
              <w:t>Mean</w:t>
            </w:r>
          </w:p>
          <w:p w14:paraId="67DE88F6" w14:textId="2BFC5752" w:rsidR="00990D06" w:rsidRPr="00C9115D" w:rsidRDefault="00990D06" w:rsidP="00602899">
            <w:pPr>
              <w:spacing w:after="0" w:line="240" w:lineRule="auto"/>
            </w:pPr>
            <w:r w:rsidRPr="00990D06">
              <w:t>(Standard deviation)</w:t>
            </w:r>
          </w:p>
        </w:tc>
      </w:tr>
      <w:tr w:rsidR="003D28FA" w:rsidRPr="00990D06" w14:paraId="08FDA3DD" w14:textId="77777777" w:rsidTr="004009C8">
        <w:trPr>
          <w:trHeight w:val="300"/>
        </w:trPr>
        <w:tc>
          <w:tcPr>
            <w:tcW w:w="0" w:type="auto"/>
            <w:tcBorders>
              <w:top w:val="nil"/>
              <w:left w:val="nil"/>
              <w:bottom w:val="nil"/>
              <w:right w:val="nil"/>
            </w:tcBorders>
            <w:shd w:val="clear" w:color="auto" w:fill="auto"/>
            <w:noWrap/>
            <w:vAlign w:val="center"/>
            <w:hideMark/>
          </w:tcPr>
          <w:p w14:paraId="02E805AD" w14:textId="02ED4C3D" w:rsidR="003D28FA" w:rsidRPr="00C9115D" w:rsidRDefault="003D28FA" w:rsidP="003D28FA">
            <w:pPr>
              <w:spacing w:after="0" w:line="240" w:lineRule="auto"/>
            </w:pPr>
            <w:r w:rsidRPr="00990D06">
              <w:t xml:space="preserve">Alfalfa production </w:t>
            </w:r>
            <w:r w:rsidRPr="00C9115D">
              <w:t>area</w:t>
            </w:r>
            <w:r w:rsidRPr="00990D06">
              <w:t xml:space="preserve"> (1,000 acres)</w:t>
            </w:r>
          </w:p>
        </w:tc>
        <w:tc>
          <w:tcPr>
            <w:tcW w:w="0" w:type="auto"/>
            <w:tcBorders>
              <w:top w:val="nil"/>
              <w:left w:val="nil"/>
              <w:bottom w:val="nil"/>
              <w:right w:val="nil"/>
            </w:tcBorders>
            <w:shd w:val="clear" w:color="auto" w:fill="auto"/>
            <w:noWrap/>
            <w:vAlign w:val="bottom"/>
            <w:hideMark/>
          </w:tcPr>
          <w:p w14:paraId="1A2E779F" w14:textId="248212DA" w:rsidR="003D28FA" w:rsidRPr="00C9115D" w:rsidRDefault="003D28FA" w:rsidP="003D28FA">
            <w:pPr>
              <w:spacing w:after="0" w:line="240" w:lineRule="auto"/>
              <w:rPr>
                <w:rFonts w:eastAsia="Times New Roman"/>
              </w:rPr>
            </w:pPr>
            <w:r>
              <w:t>15.34 (17.97)</w:t>
            </w:r>
          </w:p>
        </w:tc>
      </w:tr>
      <w:tr w:rsidR="003D28FA" w:rsidRPr="00990D06" w14:paraId="503FDC9B" w14:textId="77777777" w:rsidTr="004009C8">
        <w:trPr>
          <w:trHeight w:val="300"/>
        </w:trPr>
        <w:tc>
          <w:tcPr>
            <w:tcW w:w="0" w:type="auto"/>
            <w:tcBorders>
              <w:top w:val="nil"/>
              <w:left w:val="nil"/>
              <w:bottom w:val="nil"/>
              <w:right w:val="nil"/>
            </w:tcBorders>
            <w:shd w:val="clear" w:color="auto" w:fill="auto"/>
            <w:noWrap/>
            <w:vAlign w:val="center"/>
            <w:hideMark/>
          </w:tcPr>
          <w:p w14:paraId="0584138E" w14:textId="5C9A2B25" w:rsidR="003D28FA" w:rsidRPr="00C9115D" w:rsidRDefault="003D28FA" w:rsidP="003D28FA">
            <w:pPr>
              <w:spacing w:after="0" w:line="240" w:lineRule="auto"/>
            </w:pPr>
            <w:r w:rsidRPr="00990D06">
              <w:t xml:space="preserve">Alfalfa </w:t>
            </w:r>
            <w:r w:rsidRPr="00C9115D">
              <w:t>production</w:t>
            </w:r>
            <w:r w:rsidRPr="00990D06">
              <w:t xml:space="preserve"> output (1,000 tons)</w:t>
            </w:r>
          </w:p>
        </w:tc>
        <w:tc>
          <w:tcPr>
            <w:tcW w:w="0" w:type="auto"/>
            <w:tcBorders>
              <w:top w:val="nil"/>
              <w:left w:val="nil"/>
              <w:bottom w:val="nil"/>
              <w:right w:val="nil"/>
            </w:tcBorders>
            <w:shd w:val="clear" w:color="auto" w:fill="auto"/>
            <w:noWrap/>
            <w:vAlign w:val="bottom"/>
            <w:hideMark/>
          </w:tcPr>
          <w:p w14:paraId="36EEDFE4" w14:textId="58A081E5" w:rsidR="003D28FA" w:rsidRPr="00C9115D" w:rsidRDefault="003D28FA" w:rsidP="003D28FA">
            <w:pPr>
              <w:spacing w:after="0" w:line="240" w:lineRule="auto"/>
              <w:rPr>
                <w:rFonts w:eastAsia="Times New Roman"/>
              </w:rPr>
            </w:pPr>
            <w:r>
              <w:t>44.28 (59.01)</w:t>
            </w:r>
          </w:p>
        </w:tc>
      </w:tr>
      <w:tr w:rsidR="003D28FA" w:rsidRPr="00990D06" w14:paraId="61CA5754" w14:textId="77777777" w:rsidTr="004009C8">
        <w:trPr>
          <w:trHeight w:val="300"/>
        </w:trPr>
        <w:tc>
          <w:tcPr>
            <w:tcW w:w="0" w:type="auto"/>
            <w:tcBorders>
              <w:top w:val="nil"/>
              <w:left w:val="nil"/>
              <w:bottom w:val="nil"/>
              <w:right w:val="nil"/>
            </w:tcBorders>
            <w:shd w:val="clear" w:color="auto" w:fill="auto"/>
            <w:noWrap/>
            <w:vAlign w:val="center"/>
            <w:hideMark/>
          </w:tcPr>
          <w:p w14:paraId="3CFF1008" w14:textId="22A620FE" w:rsidR="003D28FA" w:rsidRPr="00C9115D" w:rsidRDefault="003D28FA" w:rsidP="003D28FA">
            <w:pPr>
              <w:spacing w:after="0" w:line="240" w:lineRule="auto"/>
            </w:pPr>
            <w:r w:rsidRPr="00990D06">
              <w:t xml:space="preserve">Alfalfa </w:t>
            </w:r>
            <w:r w:rsidRPr="00C9115D">
              <w:t>yield</w:t>
            </w:r>
            <w:r w:rsidRPr="00990D06">
              <w:t xml:space="preserve"> (tons/acre)</w:t>
            </w:r>
          </w:p>
        </w:tc>
        <w:tc>
          <w:tcPr>
            <w:tcW w:w="0" w:type="auto"/>
            <w:tcBorders>
              <w:top w:val="nil"/>
              <w:left w:val="nil"/>
              <w:bottom w:val="nil"/>
              <w:right w:val="nil"/>
            </w:tcBorders>
            <w:shd w:val="clear" w:color="auto" w:fill="auto"/>
            <w:noWrap/>
            <w:vAlign w:val="bottom"/>
            <w:hideMark/>
          </w:tcPr>
          <w:p w14:paraId="2016E810" w14:textId="4EFA7668" w:rsidR="003D28FA" w:rsidRPr="00C9115D" w:rsidRDefault="003D28FA" w:rsidP="003D28FA">
            <w:pPr>
              <w:spacing w:after="0" w:line="240" w:lineRule="auto"/>
              <w:rPr>
                <w:rFonts w:eastAsia="Times New Roman"/>
              </w:rPr>
            </w:pPr>
            <w:r>
              <w:t>3.04 (1.12)</w:t>
            </w:r>
          </w:p>
        </w:tc>
      </w:tr>
      <w:tr w:rsidR="003D28FA" w:rsidRPr="00990D06" w14:paraId="5DE21E38" w14:textId="77777777" w:rsidTr="004009C8">
        <w:trPr>
          <w:trHeight w:val="300"/>
        </w:trPr>
        <w:tc>
          <w:tcPr>
            <w:tcW w:w="0" w:type="auto"/>
            <w:tcBorders>
              <w:top w:val="nil"/>
              <w:left w:val="nil"/>
              <w:bottom w:val="nil"/>
              <w:right w:val="nil"/>
            </w:tcBorders>
            <w:shd w:val="clear" w:color="auto" w:fill="auto"/>
            <w:noWrap/>
            <w:vAlign w:val="center"/>
            <w:hideMark/>
          </w:tcPr>
          <w:p w14:paraId="2A8511F3" w14:textId="3E17570D" w:rsidR="003D28FA" w:rsidRPr="00C9115D" w:rsidRDefault="003D28FA" w:rsidP="003D28FA">
            <w:pPr>
              <w:spacing w:after="0" w:line="240" w:lineRule="auto"/>
            </w:pPr>
            <w:r w:rsidRPr="00990D06">
              <w:t xml:space="preserve">Cattle </w:t>
            </w:r>
            <w:r w:rsidRPr="00C9115D">
              <w:t>inventory</w:t>
            </w:r>
            <w:r>
              <w:t xml:space="preserve"> </w:t>
            </w:r>
            <w:r w:rsidRPr="00990D06">
              <w:t xml:space="preserve">(1,000 </w:t>
            </w:r>
            <w:r>
              <w:t>head</w:t>
            </w:r>
            <w:r w:rsidRPr="00990D06">
              <w:t>)</w:t>
            </w:r>
          </w:p>
        </w:tc>
        <w:tc>
          <w:tcPr>
            <w:tcW w:w="0" w:type="auto"/>
            <w:tcBorders>
              <w:top w:val="nil"/>
              <w:left w:val="nil"/>
              <w:bottom w:val="nil"/>
              <w:right w:val="nil"/>
            </w:tcBorders>
            <w:shd w:val="clear" w:color="auto" w:fill="auto"/>
            <w:noWrap/>
            <w:vAlign w:val="bottom"/>
            <w:hideMark/>
          </w:tcPr>
          <w:p w14:paraId="4E0E6859" w14:textId="2397D459" w:rsidR="003D28FA" w:rsidRPr="00C9115D" w:rsidRDefault="003D28FA" w:rsidP="003D28FA">
            <w:pPr>
              <w:spacing w:after="0" w:line="240" w:lineRule="auto"/>
              <w:rPr>
                <w:rFonts w:eastAsia="Times New Roman"/>
              </w:rPr>
            </w:pPr>
            <w:r>
              <w:t>45.48 (42.25)</w:t>
            </w:r>
          </w:p>
        </w:tc>
      </w:tr>
      <w:tr w:rsidR="003D28FA" w:rsidRPr="00990D06" w14:paraId="733EA21A" w14:textId="77777777" w:rsidTr="004009C8">
        <w:trPr>
          <w:trHeight w:val="300"/>
        </w:trPr>
        <w:tc>
          <w:tcPr>
            <w:tcW w:w="0" w:type="auto"/>
            <w:tcBorders>
              <w:top w:val="nil"/>
              <w:left w:val="nil"/>
              <w:bottom w:val="nil"/>
              <w:right w:val="nil"/>
            </w:tcBorders>
            <w:shd w:val="clear" w:color="auto" w:fill="auto"/>
            <w:noWrap/>
            <w:vAlign w:val="center"/>
            <w:hideMark/>
          </w:tcPr>
          <w:p w14:paraId="46AE3976" w14:textId="5092F9B4" w:rsidR="003D28FA" w:rsidRPr="00C9115D" w:rsidRDefault="003D28FA" w:rsidP="003D28FA">
            <w:pPr>
              <w:spacing w:after="0" w:line="240" w:lineRule="auto"/>
            </w:pPr>
            <w:r w:rsidRPr="00990D06">
              <w:t>Alfalfa growing season precipitation (inches)</w:t>
            </w:r>
          </w:p>
        </w:tc>
        <w:tc>
          <w:tcPr>
            <w:tcW w:w="0" w:type="auto"/>
            <w:tcBorders>
              <w:top w:val="nil"/>
              <w:left w:val="nil"/>
              <w:bottom w:val="nil"/>
              <w:right w:val="nil"/>
            </w:tcBorders>
            <w:shd w:val="clear" w:color="auto" w:fill="auto"/>
            <w:noWrap/>
            <w:vAlign w:val="bottom"/>
            <w:hideMark/>
          </w:tcPr>
          <w:p w14:paraId="24DF4C05" w14:textId="0A316786" w:rsidR="003D28FA" w:rsidRPr="00C9115D" w:rsidRDefault="003D28FA" w:rsidP="003D28FA">
            <w:pPr>
              <w:spacing w:after="0" w:line="240" w:lineRule="auto"/>
              <w:rPr>
                <w:rFonts w:eastAsia="Times New Roman"/>
              </w:rPr>
            </w:pPr>
            <w:r>
              <w:t>19.11 (8.68)</w:t>
            </w:r>
          </w:p>
        </w:tc>
      </w:tr>
      <w:tr w:rsidR="003D28FA" w:rsidRPr="00990D06" w14:paraId="358DE650" w14:textId="77777777" w:rsidTr="004009C8">
        <w:trPr>
          <w:trHeight w:val="300"/>
        </w:trPr>
        <w:tc>
          <w:tcPr>
            <w:tcW w:w="0" w:type="auto"/>
            <w:tcBorders>
              <w:top w:val="nil"/>
              <w:left w:val="nil"/>
              <w:bottom w:val="nil"/>
              <w:right w:val="nil"/>
            </w:tcBorders>
            <w:shd w:val="clear" w:color="auto" w:fill="auto"/>
            <w:noWrap/>
            <w:vAlign w:val="center"/>
            <w:hideMark/>
          </w:tcPr>
          <w:p w14:paraId="44DDAEDD" w14:textId="799BA6D9" w:rsidR="003D28FA" w:rsidRPr="00C9115D" w:rsidRDefault="003D28FA" w:rsidP="003D28FA">
            <w:pPr>
              <w:spacing w:after="0" w:line="240" w:lineRule="auto"/>
            </w:pPr>
            <w:r w:rsidRPr="00990D06">
              <w:t>Alfalfa growing season degree-day (below 1</w:t>
            </w:r>
            <w:r>
              <w:t>4</w:t>
            </w:r>
            <w:r w:rsidRPr="00990D06">
              <w:t>°C)</w:t>
            </w:r>
          </w:p>
        </w:tc>
        <w:tc>
          <w:tcPr>
            <w:tcW w:w="0" w:type="auto"/>
            <w:tcBorders>
              <w:top w:val="nil"/>
              <w:left w:val="nil"/>
              <w:bottom w:val="nil"/>
              <w:right w:val="nil"/>
            </w:tcBorders>
            <w:shd w:val="clear" w:color="auto" w:fill="auto"/>
            <w:noWrap/>
            <w:vAlign w:val="bottom"/>
            <w:hideMark/>
          </w:tcPr>
          <w:p w14:paraId="078A3206" w14:textId="2937F7E8" w:rsidR="003D28FA" w:rsidRPr="00C9115D" w:rsidRDefault="003D28FA" w:rsidP="003D28FA">
            <w:pPr>
              <w:spacing w:after="0" w:line="240" w:lineRule="auto"/>
              <w:rPr>
                <w:rFonts w:eastAsia="Times New Roman"/>
              </w:rPr>
            </w:pPr>
            <w:r>
              <w:t>2497.86 (626.03)</w:t>
            </w:r>
          </w:p>
        </w:tc>
      </w:tr>
      <w:tr w:rsidR="003D28FA" w:rsidRPr="00990D06" w14:paraId="3FC1A34A" w14:textId="77777777" w:rsidTr="004009C8">
        <w:trPr>
          <w:trHeight w:val="300"/>
        </w:trPr>
        <w:tc>
          <w:tcPr>
            <w:tcW w:w="0" w:type="auto"/>
            <w:tcBorders>
              <w:top w:val="nil"/>
              <w:left w:val="nil"/>
              <w:right w:val="nil"/>
            </w:tcBorders>
            <w:shd w:val="clear" w:color="auto" w:fill="auto"/>
            <w:noWrap/>
            <w:vAlign w:val="center"/>
          </w:tcPr>
          <w:p w14:paraId="0B44A627" w14:textId="79A042E1" w:rsidR="003D28FA" w:rsidRPr="00990D06" w:rsidRDefault="003D28FA" w:rsidP="003D28FA">
            <w:pPr>
              <w:spacing w:after="0" w:line="240" w:lineRule="auto"/>
            </w:pPr>
            <w:r w:rsidRPr="00990D06">
              <w:t>Alfalfa growing season degree-day (1</w:t>
            </w:r>
            <w:r>
              <w:t>4</w:t>
            </w:r>
            <w:r w:rsidRPr="00990D06">
              <w:t>°C to 29°C)</w:t>
            </w:r>
          </w:p>
        </w:tc>
        <w:tc>
          <w:tcPr>
            <w:tcW w:w="0" w:type="auto"/>
            <w:tcBorders>
              <w:top w:val="nil"/>
              <w:left w:val="nil"/>
              <w:right w:val="nil"/>
            </w:tcBorders>
            <w:shd w:val="clear" w:color="auto" w:fill="auto"/>
            <w:noWrap/>
            <w:vAlign w:val="bottom"/>
          </w:tcPr>
          <w:p w14:paraId="63A6E6C1" w14:textId="04124C74" w:rsidR="003D28FA" w:rsidRPr="00990D06" w:rsidRDefault="003D28FA" w:rsidP="003D28FA">
            <w:pPr>
              <w:spacing w:after="0" w:line="240" w:lineRule="auto"/>
            </w:pPr>
            <w:r>
              <w:t>648.22 (489.08)</w:t>
            </w:r>
          </w:p>
        </w:tc>
      </w:tr>
      <w:tr w:rsidR="003D28FA" w:rsidRPr="00990D06" w14:paraId="29DCCB65" w14:textId="77777777" w:rsidTr="004009C8">
        <w:trPr>
          <w:trHeight w:val="300"/>
        </w:trPr>
        <w:tc>
          <w:tcPr>
            <w:tcW w:w="0" w:type="auto"/>
            <w:tcBorders>
              <w:top w:val="nil"/>
              <w:left w:val="nil"/>
              <w:bottom w:val="single" w:sz="4" w:space="0" w:color="auto"/>
              <w:right w:val="nil"/>
            </w:tcBorders>
            <w:shd w:val="clear" w:color="auto" w:fill="auto"/>
            <w:noWrap/>
            <w:vAlign w:val="center"/>
          </w:tcPr>
          <w:p w14:paraId="02A23750" w14:textId="544CF5D9" w:rsidR="003D28FA" w:rsidRPr="00990D06" w:rsidRDefault="003D28FA" w:rsidP="003D28FA">
            <w:pPr>
              <w:spacing w:after="0" w:line="240" w:lineRule="auto"/>
            </w:pPr>
            <w:r w:rsidRPr="00990D06">
              <w:t>Alfalfa growing season degree-day (above 29°C)</w:t>
            </w:r>
          </w:p>
        </w:tc>
        <w:tc>
          <w:tcPr>
            <w:tcW w:w="0" w:type="auto"/>
            <w:tcBorders>
              <w:top w:val="nil"/>
              <w:left w:val="nil"/>
              <w:bottom w:val="single" w:sz="4" w:space="0" w:color="auto"/>
              <w:right w:val="nil"/>
            </w:tcBorders>
            <w:shd w:val="clear" w:color="auto" w:fill="auto"/>
            <w:noWrap/>
            <w:vAlign w:val="bottom"/>
          </w:tcPr>
          <w:p w14:paraId="24309AFB" w14:textId="5710F065" w:rsidR="003D28FA" w:rsidRPr="00990D06" w:rsidRDefault="003D28FA" w:rsidP="003D28FA">
            <w:pPr>
              <w:spacing w:after="0" w:line="240" w:lineRule="auto"/>
            </w:pPr>
            <w:r>
              <w:t>23.51 (50.89)</w:t>
            </w:r>
          </w:p>
        </w:tc>
      </w:tr>
      <w:tr w:rsidR="00990D06" w:rsidRPr="00990D06" w14:paraId="24A29168" w14:textId="77777777" w:rsidTr="00990D06">
        <w:trPr>
          <w:trHeight w:val="300"/>
        </w:trPr>
        <w:tc>
          <w:tcPr>
            <w:tcW w:w="0" w:type="auto"/>
            <w:tcBorders>
              <w:top w:val="single" w:sz="4" w:space="0" w:color="auto"/>
              <w:left w:val="nil"/>
              <w:bottom w:val="nil"/>
              <w:right w:val="nil"/>
            </w:tcBorders>
            <w:shd w:val="clear" w:color="auto" w:fill="auto"/>
            <w:noWrap/>
            <w:vAlign w:val="center"/>
          </w:tcPr>
          <w:p w14:paraId="1FC96CC5" w14:textId="1C22ABAD" w:rsidR="00990D06" w:rsidRPr="00C9115D" w:rsidRDefault="00990D06" w:rsidP="00602899">
            <w:pPr>
              <w:spacing w:after="0" w:line="240" w:lineRule="auto"/>
            </w:pPr>
            <w:r w:rsidRPr="00990D06">
              <w:t xml:space="preserve">Number of </w:t>
            </w:r>
            <w:r w:rsidR="003F691E">
              <w:t>counties</w:t>
            </w:r>
          </w:p>
        </w:tc>
        <w:tc>
          <w:tcPr>
            <w:tcW w:w="0" w:type="auto"/>
            <w:tcBorders>
              <w:top w:val="single" w:sz="4" w:space="0" w:color="auto"/>
              <w:left w:val="nil"/>
              <w:bottom w:val="nil"/>
              <w:right w:val="nil"/>
            </w:tcBorders>
            <w:shd w:val="clear" w:color="auto" w:fill="auto"/>
            <w:noWrap/>
            <w:vAlign w:val="center"/>
          </w:tcPr>
          <w:p w14:paraId="0D5E9604" w14:textId="2F712D25" w:rsidR="00990D06" w:rsidRPr="00C9115D" w:rsidRDefault="00E52FA8" w:rsidP="00602899">
            <w:pPr>
              <w:spacing w:after="0" w:line="240" w:lineRule="auto"/>
              <w:rPr>
                <w:rFonts w:eastAsia="Times New Roman"/>
              </w:rPr>
            </w:pPr>
            <w:r>
              <w:t>1,877</w:t>
            </w:r>
          </w:p>
        </w:tc>
      </w:tr>
      <w:tr w:rsidR="00990D06" w:rsidRPr="00990D06" w14:paraId="76BF287F" w14:textId="77777777" w:rsidTr="002611BB">
        <w:trPr>
          <w:trHeight w:val="300"/>
        </w:trPr>
        <w:tc>
          <w:tcPr>
            <w:tcW w:w="0" w:type="auto"/>
            <w:tcBorders>
              <w:top w:val="nil"/>
              <w:left w:val="nil"/>
              <w:bottom w:val="single" w:sz="4" w:space="0" w:color="auto"/>
              <w:right w:val="nil"/>
            </w:tcBorders>
            <w:shd w:val="clear" w:color="auto" w:fill="auto"/>
            <w:noWrap/>
            <w:vAlign w:val="center"/>
          </w:tcPr>
          <w:p w14:paraId="0BB0F609" w14:textId="5FDCCEAE" w:rsidR="00990D06" w:rsidRPr="00C9115D" w:rsidRDefault="00990D06" w:rsidP="00602899">
            <w:pPr>
              <w:spacing w:after="0" w:line="240" w:lineRule="auto"/>
            </w:pPr>
            <w:r w:rsidRPr="00990D06">
              <w:t>Number of observations</w:t>
            </w:r>
          </w:p>
        </w:tc>
        <w:tc>
          <w:tcPr>
            <w:tcW w:w="0" w:type="auto"/>
            <w:tcBorders>
              <w:top w:val="nil"/>
              <w:left w:val="nil"/>
              <w:bottom w:val="single" w:sz="4" w:space="0" w:color="auto"/>
              <w:right w:val="nil"/>
            </w:tcBorders>
            <w:shd w:val="clear" w:color="auto" w:fill="auto"/>
            <w:noWrap/>
            <w:vAlign w:val="center"/>
          </w:tcPr>
          <w:p w14:paraId="1EDB7F8A" w14:textId="6516BB75" w:rsidR="00990D06" w:rsidRPr="00C9115D" w:rsidRDefault="00D566E9" w:rsidP="00602899">
            <w:pPr>
              <w:spacing w:after="0" w:line="240" w:lineRule="auto"/>
              <w:rPr>
                <w:rFonts w:eastAsia="Times New Roman"/>
              </w:rPr>
            </w:pPr>
            <w:r>
              <w:t>62,987</w:t>
            </w:r>
          </w:p>
        </w:tc>
      </w:tr>
    </w:tbl>
    <w:p w14:paraId="63EB731B" w14:textId="1C8BE45D" w:rsidR="00C9115D" w:rsidRDefault="003308C7" w:rsidP="00602899">
      <w:pPr>
        <w:spacing w:after="0" w:line="240" w:lineRule="auto"/>
      </w:pPr>
      <w:r>
        <w:t xml:space="preserve">Notes: Summary statistics are based </w:t>
      </w:r>
      <w:r w:rsidR="00992C61">
        <w:t>on data from</w:t>
      </w:r>
      <w:r>
        <w:t xml:space="preserve"> </w:t>
      </w:r>
      <w:r w:rsidR="00B85C9A">
        <w:t>1951</w:t>
      </w:r>
      <w:r>
        <w:t xml:space="preserve"> to </w:t>
      </w:r>
      <w:r w:rsidR="00B85C9A">
        <w:t>2022</w:t>
      </w:r>
      <w:r>
        <w:t>.</w:t>
      </w:r>
    </w:p>
    <w:p w14:paraId="605F02C3" w14:textId="77777777" w:rsidR="00C9115D" w:rsidRDefault="00C9115D" w:rsidP="00E408A0">
      <w:pPr>
        <w:sectPr w:rsidR="00C9115D" w:rsidSect="00EA30C9">
          <w:pgSz w:w="12240" w:h="15840"/>
          <w:pgMar w:top="1440" w:right="1440" w:bottom="1440" w:left="1440" w:header="720" w:footer="720" w:gutter="0"/>
          <w:cols w:space="720"/>
          <w:docGrid w:linePitch="360"/>
        </w:sectPr>
      </w:pPr>
    </w:p>
    <w:p w14:paraId="786EB0BF" w14:textId="3C6EC8C6" w:rsidR="00254A78" w:rsidRDefault="00B83B5A" w:rsidP="00E408A0">
      <w:pPr>
        <w:pStyle w:val="Heading4"/>
      </w:pPr>
      <w:r w:rsidRPr="00B83B5A">
        <w:lastRenderedPageBreak/>
        <w:t>Table 2: Regression coefficients</w:t>
      </w:r>
    </w:p>
    <w:tbl>
      <w:tblPr>
        <w:tblW w:w="0" w:type="auto"/>
        <w:tblLayout w:type="fixed"/>
        <w:tblLook w:val="04A0" w:firstRow="1" w:lastRow="0" w:firstColumn="1" w:lastColumn="0" w:noHBand="0" w:noVBand="1"/>
      </w:tblPr>
      <w:tblGrid>
        <w:gridCol w:w="3690"/>
        <w:gridCol w:w="1440"/>
        <w:gridCol w:w="1530"/>
        <w:gridCol w:w="1440"/>
        <w:gridCol w:w="1530"/>
        <w:gridCol w:w="1530"/>
        <w:gridCol w:w="1440"/>
      </w:tblGrid>
      <w:tr w:rsidR="00503D7A" w:rsidRPr="000E005D" w14:paraId="60349ADF" w14:textId="77777777" w:rsidTr="000E005D">
        <w:trPr>
          <w:trHeight w:val="314"/>
        </w:trPr>
        <w:tc>
          <w:tcPr>
            <w:tcW w:w="3690" w:type="dxa"/>
            <w:tcBorders>
              <w:top w:val="single" w:sz="4" w:space="0" w:color="auto"/>
              <w:left w:val="nil"/>
              <w:right w:val="nil"/>
            </w:tcBorders>
            <w:shd w:val="clear" w:color="auto" w:fill="auto"/>
            <w:noWrap/>
            <w:vAlign w:val="center"/>
          </w:tcPr>
          <w:p w14:paraId="71F0838B" w14:textId="77777777" w:rsidR="00503D7A" w:rsidRPr="000E005D" w:rsidRDefault="00503D7A" w:rsidP="002C2C08">
            <w:pPr>
              <w:spacing w:after="0" w:line="240" w:lineRule="auto"/>
              <w:jc w:val="left"/>
            </w:pPr>
          </w:p>
        </w:tc>
        <w:tc>
          <w:tcPr>
            <w:tcW w:w="8910" w:type="dxa"/>
            <w:gridSpan w:val="6"/>
            <w:tcBorders>
              <w:top w:val="single" w:sz="4" w:space="0" w:color="auto"/>
              <w:left w:val="nil"/>
              <w:bottom w:val="single" w:sz="4" w:space="0" w:color="auto"/>
              <w:right w:val="nil"/>
            </w:tcBorders>
            <w:shd w:val="clear" w:color="auto" w:fill="auto"/>
            <w:noWrap/>
            <w:vAlign w:val="center"/>
          </w:tcPr>
          <w:p w14:paraId="2A06C15B" w14:textId="68235F59" w:rsidR="00503D7A" w:rsidRPr="000E005D" w:rsidRDefault="00503D7A" w:rsidP="002C2C08">
            <w:pPr>
              <w:spacing w:after="0" w:line="240" w:lineRule="auto"/>
              <w:jc w:val="center"/>
              <w:rPr>
                <w:b/>
                <w:bCs/>
              </w:rPr>
            </w:pPr>
            <w:r w:rsidRPr="000E005D">
              <w:rPr>
                <w:b/>
                <w:bCs/>
              </w:rPr>
              <w:t>Growing season weather aggregation window</w:t>
            </w:r>
          </w:p>
        </w:tc>
      </w:tr>
      <w:tr w:rsidR="00503D7A" w:rsidRPr="000E005D" w14:paraId="05B581A2" w14:textId="77777777" w:rsidTr="000E005D">
        <w:trPr>
          <w:trHeight w:val="350"/>
        </w:trPr>
        <w:tc>
          <w:tcPr>
            <w:tcW w:w="3690" w:type="dxa"/>
            <w:tcBorders>
              <w:left w:val="nil"/>
              <w:right w:val="nil"/>
            </w:tcBorders>
            <w:shd w:val="clear" w:color="auto" w:fill="auto"/>
            <w:noWrap/>
            <w:vAlign w:val="center"/>
            <w:hideMark/>
          </w:tcPr>
          <w:p w14:paraId="2E3FC37F" w14:textId="7D721F5B" w:rsidR="00503D7A" w:rsidRPr="000E005D" w:rsidRDefault="00503D7A" w:rsidP="002C2C08">
            <w:pPr>
              <w:spacing w:after="0" w:line="240" w:lineRule="auto"/>
              <w:jc w:val="left"/>
            </w:pPr>
          </w:p>
        </w:tc>
        <w:tc>
          <w:tcPr>
            <w:tcW w:w="1440" w:type="dxa"/>
            <w:tcBorders>
              <w:top w:val="single" w:sz="4" w:space="0" w:color="auto"/>
              <w:left w:val="nil"/>
              <w:bottom w:val="single" w:sz="4" w:space="0" w:color="auto"/>
              <w:right w:val="nil"/>
            </w:tcBorders>
            <w:shd w:val="clear" w:color="auto" w:fill="auto"/>
            <w:noWrap/>
            <w:vAlign w:val="center"/>
            <w:hideMark/>
          </w:tcPr>
          <w:p w14:paraId="5F3BB3BB" w14:textId="1AD37168" w:rsidR="00503D7A" w:rsidRPr="000E005D" w:rsidRDefault="00503D7A" w:rsidP="002C2C08">
            <w:pPr>
              <w:spacing w:after="0" w:line="240" w:lineRule="auto"/>
              <w:jc w:val="left"/>
              <w:rPr>
                <w:b/>
                <w:bCs/>
              </w:rPr>
            </w:pPr>
            <w:r w:rsidRPr="000E005D">
              <w:rPr>
                <w:b/>
                <w:bCs/>
              </w:rPr>
              <w:t>7 months</w:t>
            </w:r>
            <w:r w:rsidR="004D673E" w:rsidRPr="000E005D">
              <w:rPr>
                <w:rFonts w:eastAsia="Times New Roman"/>
                <w:b/>
                <w:bCs/>
                <w:color w:val="000000"/>
              </w:rPr>
              <w:t>††</w:t>
            </w:r>
          </w:p>
        </w:tc>
        <w:tc>
          <w:tcPr>
            <w:tcW w:w="1530" w:type="dxa"/>
            <w:tcBorders>
              <w:top w:val="single" w:sz="4" w:space="0" w:color="auto"/>
              <w:left w:val="nil"/>
              <w:bottom w:val="single" w:sz="4" w:space="0" w:color="auto"/>
              <w:right w:val="nil"/>
            </w:tcBorders>
            <w:shd w:val="clear" w:color="auto" w:fill="auto"/>
            <w:noWrap/>
            <w:vAlign w:val="center"/>
            <w:hideMark/>
          </w:tcPr>
          <w:p w14:paraId="106AE98C" w14:textId="4EDF5494" w:rsidR="00503D7A" w:rsidRPr="000E005D" w:rsidRDefault="00503D7A" w:rsidP="002C2C08">
            <w:pPr>
              <w:spacing w:after="0" w:line="240" w:lineRule="auto"/>
              <w:jc w:val="left"/>
              <w:rPr>
                <w:b/>
                <w:bCs/>
              </w:rPr>
            </w:pPr>
            <w:r w:rsidRPr="000E005D">
              <w:rPr>
                <w:b/>
                <w:bCs/>
              </w:rPr>
              <w:t>5 months</w:t>
            </w:r>
          </w:p>
        </w:tc>
        <w:tc>
          <w:tcPr>
            <w:tcW w:w="1440" w:type="dxa"/>
            <w:tcBorders>
              <w:top w:val="single" w:sz="4" w:space="0" w:color="auto"/>
              <w:left w:val="nil"/>
              <w:bottom w:val="single" w:sz="4" w:space="0" w:color="auto"/>
              <w:right w:val="nil"/>
            </w:tcBorders>
            <w:shd w:val="clear" w:color="auto" w:fill="auto"/>
            <w:noWrap/>
            <w:vAlign w:val="center"/>
            <w:hideMark/>
          </w:tcPr>
          <w:p w14:paraId="708E66D0" w14:textId="24922D27" w:rsidR="00503D7A" w:rsidRPr="000E005D" w:rsidRDefault="00503D7A" w:rsidP="002C2C08">
            <w:pPr>
              <w:spacing w:after="0" w:line="240" w:lineRule="auto"/>
              <w:jc w:val="left"/>
              <w:rPr>
                <w:b/>
                <w:bCs/>
              </w:rPr>
            </w:pPr>
            <w:r w:rsidRPr="000E005D">
              <w:rPr>
                <w:b/>
                <w:bCs/>
              </w:rPr>
              <w:t>6 months</w:t>
            </w:r>
          </w:p>
        </w:tc>
        <w:tc>
          <w:tcPr>
            <w:tcW w:w="1530" w:type="dxa"/>
            <w:tcBorders>
              <w:top w:val="single" w:sz="4" w:space="0" w:color="auto"/>
              <w:left w:val="nil"/>
              <w:bottom w:val="single" w:sz="4" w:space="0" w:color="auto"/>
              <w:right w:val="nil"/>
            </w:tcBorders>
            <w:shd w:val="clear" w:color="auto" w:fill="auto"/>
            <w:noWrap/>
            <w:vAlign w:val="center"/>
            <w:hideMark/>
          </w:tcPr>
          <w:p w14:paraId="220B3A4B" w14:textId="52761F75" w:rsidR="00503D7A" w:rsidRPr="000E005D" w:rsidRDefault="00503D7A" w:rsidP="002C2C08">
            <w:pPr>
              <w:spacing w:after="0" w:line="240" w:lineRule="auto"/>
              <w:jc w:val="left"/>
              <w:rPr>
                <w:b/>
                <w:bCs/>
              </w:rPr>
            </w:pPr>
            <w:r w:rsidRPr="000E005D">
              <w:rPr>
                <w:b/>
                <w:bCs/>
              </w:rPr>
              <w:t>8 months</w:t>
            </w:r>
          </w:p>
        </w:tc>
        <w:tc>
          <w:tcPr>
            <w:tcW w:w="1530" w:type="dxa"/>
            <w:tcBorders>
              <w:top w:val="single" w:sz="4" w:space="0" w:color="auto"/>
              <w:left w:val="nil"/>
              <w:bottom w:val="single" w:sz="4" w:space="0" w:color="auto"/>
              <w:right w:val="nil"/>
            </w:tcBorders>
            <w:shd w:val="clear" w:color="auto" w:fill="auto"/>
            <w:noWrap/>
            <w:vAlign w:val="center"/>
            <w:hideMark/>
          </w:tcPr>
          <w:p w14:paraId="23C8051F" w14:textId="7108A175" w:rsidR="00503D7A" w:rsidRPr="000E005D" w:rsidRDefault="00503D7A" w:rsidP="002C2C08">
            <w:pPr>
              <w:spacing w:after="0" w:line="240" w:lineRule="auto"/>
              <w:jc w:val="left"/>
              <w:rPr>
                <w:b/>
                <w:bCs/>
              </w:rPr>
            </w:pPr>
            <w:r w:rsidRPr="000E005D">
              <w:rPr>
                <w:b/>
                <w:bCs/>
              </w:rPr>
              <w:t>9 months</w:t>
            </w:r>
          </w:p>
        </w:tc>
        <w:tc>
          <w:tcPr>
            <w:tcW w:w="1440" w:type="dxa"/>
            <w:tcBorders>
              <w:top w:val="single" w:sz="4" w:space="0" w:color="auto"/>
              <w:left w:val="nil"/>
              <w:bottom w:val="single" w:sz="4" w:space="0" w:color="auto"/>
              <w:right w:val="nil"/>
            </w:tcBorders>
            <w:shd w:val="clear" w:color="auto" w:fill="auto"/>
            <w:noWrap/>
            <w:vAlign w:val="center"/>
            <w:hideMark/>
          </w:tcPr>
          <w:p w14:paraId="4B7940BD" w14:textId="541AB56E" w:rsidR="00503D7A" w:rsidRPr="000E005D" w:rsidRDefault="00503D7A" w:rsidP="002C2C08">
            <w:pPr>
              <w:spacing w:after="0" w:line="240" w:lineRule="auto"/>
              <w:jc w:val="left"/>
              <w:rPr>
                <w:b/>
                <w:bCs/>
              </w:rPr>
            </w:pPr>
            <w:r w:rsidRPr="000E005D">
              <w:rPr>
                <w:b/>
                <w:bCs/>
              </w:rPr>
              <w:t>10 months</w:t>
            </w:r>
          </w:p>
        </w:tc>
      </w:tr>
      <w:tr w:rsidR="0051798D" w:rsidRPr="000E005D" w14:paraId="278523EA" w14:textId="77777777" w:rsidTr="000E005D">
        <w:trPr>
          <w:trHeight w:val="20"/>
        </w:trPr>
        <w:tc>
          <w:tcPr>
            <w:tcW w:w="3690" w:type="dxa"/>
            <w:tcBorders>
              <w:top w:val="nil"/>
              <w:left w:val="nil"/>
              <w:bottom w:val="nil"/>
              <w:right w:val="nil"/>
            </w:tcBorders>
            <w:shd w:val="clear" w:color="auto" w:fill="auto"/>
            <w:noWrap/>
            <w:vAlign w:val="center"/>
            <w:hideMark/>
          </w:tcPr>
          <w:p w14:paraId="1F3AD7B4" w14:textId="6D4515D6" w:rsidR="0051798D" w:rsidRPr="000E005D" w:rsidRDefault="0051798D" w:rsidP="0051798D">
            <w:pPr>
              <w:spacing w:before="120" w:after="120" w:line="240" w:lineRule="auto"/>
              <w:jc w:val="left"/>
              <w:rPr>
                <w:b/>
                <w:bCs/>
              </w:rPr>
            </w:pPr>
            <w:r w:rsidRPr="000E005D">
              <w:t>Degree-day (below 14°C)</w:t>
            </w:r>
          </w:p>
        </w:tc>
        <w:tc>
          <w:tcPr>
            <w:tcW w:w="1440" w:type="dxa"/>
            <w:tcBorders>
              <w:top w:val="nil"/>
              <w:left w:val="nil"/>
              <w:bottom w:val="nil"/>
              <w:right w:val="nil"/>
            </w:tcBorders>
            <w:shd w:val="clear" w:color="auto" w:fill="auto"/>
            <w:noWrap/>
            <w:vAlign w:val="center"/>
            <w:hideMark/>
          </w:tcPr>
          <w:p w14:paraId="2F71E28B" w14:textId="5C6B3640" w:rsidR="0051798D" w:rsidRPr="000E005D" w:rsidRDefault="0051798D" w:rsidP="0051798D">
            <w:pPr>
              <w:spacing w:before="120" w:after="120" w:line="240" w:lineRule="auto"/>
              <w:jc w:val="left"/>
            </w:pPr>
            <w:r>
              <w:t>0.043*** (0.016)</w:t>
            </w:r>
          </w:p>
        </w:tc>
        <w:tc>
          <w:tcPr>
            <w:tcW w:w="1530" w:type="dxa"/>
            <w:tcBorders>
              <w:top w:val="nil"/>
              <w:left w:val="nil"/>
              <w:bottom w:val="nil"/>
              <w:right w:val="nil"/>
            </w:tcBorders>
            <w:shd w:val="clear" w:color="auto" w:fill="auto"/>
            <w:noWrap/>
            <w:vAlign w:val="center"/>
            <w:hideMark/>
          </w:tcPr>
          <w:p w14:paraId="3F0CB348" w14:textId="4BA08DA5" w:rsidR="0051798D" w:rsidRPr="000E005D" w:rsidRDefault="0051798D" w:rsidP="0051798D">
            <w:pPr>
              <w:spacing w:before="120" w:after="120" w:line="240" w:lineRule="auto"/>
              <w:jc w:val="left"/>
            </w:pPr>
            <w:r>
              <w:t>-0.029 (0.035)</w:t>
            </w:r>
          </w:p>
        </w:tc>
        <w:tc>
          <w:tcPr>
            <w:tcW w:w="1440" w:type="dxa"/>
            <w:tcBorders>
              <w:top w:val="nil"/>
              <w:left w:val="nil"/>
              <w:bottom w:val="nil"/>
              <w:right w:val="nil"/>
            </w:tcBorders>
            <w:shd w:val="clear" w:color="auto" w:fill="auto"/>
            <w:noWrap/>
            <w:vAlign w:val="center"/>
            <w:hideMark/>
          </w:tcPr>
          <w:p w14:paraId="6546A141" w14:textId="2591BFF0" w:rsidR="0051798D" w:rsidRPr="000E005D" w:rsidRDefault="0051798D" w:rsidP="0051798D">
            <w:pPr>
              <w:spacing w:before="120" w:after="120" w:line="240" w:lineRule="auto"/>
              <w:jc w:val="left"/>
            </w:pPr>
            <w:r>
              <w:t>-0.014 (0.026)</w:t>
            </w:r>
          </w:p>
        </w:tc>
        <w:tc>
          <w:tcPr>
            <w:tcW w:w="1530" w:type="dxa"/>
            <w:tcBorders>
              <w:top w:val="nil"/>
              <w:left w:val="nil"/>
              <w:bottom w:val="nil"/>
              <w:right w:val="nil"/>
            </w:tcBorders>
            <w:shd w:val="clear" w:color="auto" w:fill="auto"/>
            <w:noWrap/>
            <w:vAlign w:val="center"/>
            <w:hideMark/>
          </w:tcPr>
          <w:p w14:paraId="61A51B1F" w14:textId="50FD735C" w:rsidR="0051798D" w:rsidRPr="000E005D" w:rsidRDefault="0051798D" w:rsidP="0051798D">
            <w:pPr>
              <w:spacing w:before="120" w:after="120" w:line="240" w:lineRule="auto"/>
              <w:jc w:val="left"/>
            </w:pPr>
            <w:r>
              <w:t>0.020 (0.027)</w:t>
            </w:r>
          </w:p>
        </w:tc>
        <w:tc>
          <w:tcPr>
            <w:tcW w:w="1530" w:type="dxa"/>
            <w:tcBorders>
              <w:top w:val="nil"/>
              <w:left w:val="nil"/>
              <w:bottom w:val="nil"/>
              <w:right w:val="nil"/>
            </w:tcBorders>
            <w:shd w:val="clear" w:color="auto" w:fill="auto"/>
            <w:noWrap/>
            <w:vAlign w:val="center"/>
            <w:hideMark/>
          </w:tcPr>
          <w:p w14:paraId="160E4C4E" w14:textId="68C2AAAF" w:rsidR="0051798D" w:rsidRPr="000E005D" w:rsidRDefault="0051798D" w:rsidP="0051798D">
            <w:pPr>
              <w:spacing w:before="120" w:after="120" w:line="240" w:lineRule="auto"/>
              <w:jc w:val="left"/>
            </w:pPr>
            <w:r>
              <w:t>-0.004 (0.012)</w:t>
            </w:r>
          </w:p>
        </w:tc>
        <w:tc>
          <w:tcPr>
            <w:tcW w:w="1440" w:type="dxa"/>
            <w:tcBorders>
              <w:top w:val="nil"/>
              <w:left w:val="nil"/>
              <w:bottom w:val="nil"/>
              <w:right w:val="nil"/>
            </w:tcBorders>
            <w:shd w:val="clear" w:color="auto" w:fill="auto"/>
            <w:noWrap/>
            <w:vAlign w:val="center"/>
            <w:hideMark/>
          </w:tcPr>
          <w:p w14:paraId="3D921039" w14:textId="1670F30A" w:rsidR="0051798D" w:rsidRPr="000E005D" w:rsidRDefault="0051798D" w:rsidP="0051798D">
            <w:pPr>
              <w:spacing w:before="120" w:after="120" w:line="240" w:lineRule="auto"/>
              <w:jc w:val="left"/>
            </w:pPr>
            <w:r>
              <w:t>0.001 (0.006)</w:t>
            </w:r>
          </w:p>
        </w:tc>
      </w:tr>
      <w:tr w:rsidR="0051798D" w:rsidRPr="000E005D" w14:paraId="4543A95A" w14:textId="77777777" w:rsidTr="000E005D">
        <w:trPr>
          <w:trHeight w:val="20"/>
        </w:trPr>
        <w:tc>
          <w:tcPr>
            <w:tcW w:w="3690" w:type="dxa"/>
            <w:tcBorders>
              <w:top w:val="nil"/>
              <w:left w:val="nil"/>
              <w:bottom w:val="nil"/>
              <w:right w:val="nil"/>
            </w:tcBorders>
            <w:shd w:val="clear" w:color="auto" w:fill="auto"/>
            <w:noWrap/>
            <w:vAlign w:val="center"/>
            <w:hideMark/>
          </w:tcPr>
          <w:p w14:paraId="39BF8D3E" w14:textId="1F5C5C1D" w:rsidR="0051798D" w:rsidRPr="000E005D" w:rsidRDefault="0051798D" w:rsidP="0051798D">
            <w:pPr>
              <w:spacing w:after="120" w:line="240" w:lineRule="auto"/>
              <w:jc w:val="left"/>
            </w:pPr>
            <w:r w:rsidRPr="000E005D">
              <w:t>Degree-day (14°C to 29°C)</w:t>
            </w:r>
          </w:p>
        </w:tc>
        <w:tc>
          <w:tcPr>
            <w:tcW w:w="1440" w:type="dxa"/>
            <w:tcBorders>
              <w:top w:val="nil"/>
              <w:left w:val="nil"/>
              <w:bottom w:val="nil"/>
              <w:right w:val="nil"/>
            </w:tcBorders>
            <w:shd w:val="clear" w:color="auto" w:fill="auto"/>
            <w:noWrap/>
            <w:vAlign w:val="center"/>
            <w:hideMark/>
          </w:tcPr>
          <w:p w14:paraId="049A5713" w14:textId="5D7EEC33" w:rsidR="0051798D" w:rsidRPr="000E005D" w:rsidRDefault="0051798D" w:rsidP="0051798D">
            <w:pPr>
              <w:spacing w:after="120" w:line="240" w:lineRule="auto"/>
              <w:jc w:val="left"/>
            </w:pPr>
            <w:r>
              <w:t>0.063*** (0.018)</w:t>
            </w:r>
          </w:p>
        </w:tc>
        <w:tc>
          <w:tcPr>
            <w:tcW w:w="1530" w:type="dxa"/>
            <w:tcBorders>
              <w:top w:val="nil"/>
              <w:left w:val="nil"/>
              <w:bottom w:val="nil"/>
              <w:right w:val="nil"/>
            </w:tcBorders>
            <w:shd w:val="clear" w:color="auto" w:fill="auto"/>
            <w:noWrap/>
            <w:vAlign w:val="center"/>
            <w:hideMark/>
          </w:tcPr>
          <w:p w14:paraId="300B1552" w14:textId="2F6E5F70" w:rsidR="0051798D" w:rsidRPr="000E005D" w:rsidRDefault="0051798D" w:rsidP="0051798D">
            <w:pPr>
              <w:spacing w:after="120" w:line="240" w:lineRule="auto"/>
              <w:jc w:val="left"/>
            </w:pPr>
            <w:r>
              <w:t>-0.021 (0.035)</w:t>
            </w:r>
          </w:p>
        </w:tc>
        <w:tc>
          <w:tcPr>
            <w:tcW w:w="1440" w:type="dxa"/>
            <w:tcBorders>
              <w:top w:val="nil"/>
              <w:left w:val="nil"/>
              <w:bottom w:val="nil"/>
              <w:right w:val="nil"/>
            </w:tcBorders>
            <w:shd w:val="clear" w:color="auto" w:fill="auto"/>
            <w:noWrap/>
            <w:vAlign w:val="center"/>
            <w:hideMark/>
          </w:tcPr>
          <w:p w14:paraId="343DC514" w14:textId="7629B8CC" w:rsidR="0051798D" w:rsidRPr="000E005D" w:rsidRDefault="0051798D" w:rsidP="0051798D">
            <w:pPr>
              <w:spacing w:after="120" w:line="240" w:lineRule="auto"/>
              <w:jc w:val="left"/>
            </w:pPr>
            <w:r>
              <w:t>0.012 (0.024)</w:t>
            </w:r>
          </w:p>
        </w:tc>
        <w:tc>
          <w:tcPr>
            <w:tcW w:w="1530" w:type="dxa"/>
            <w:tcBorders>
              <w:top w:val="nil"/>
              <w:left w:val="nil"/>
              <w:bottom w:val="nil"/>
              <w:right w:val="nil"/>
            </w:tcBorders>
            <w:shd w:val="clear" w:color="auto" w:fill="auto"/>
            <w:noWrap/>
            <w:vAlign w:val="center"/>
            <w:hideMark/>
          </w:tcPr>
          <w:p w14:paraId="40BE6562" w14:textId="4CA85704" w:rsidR="0051798D" w:rsidRPr="000E005D" w:rsidRDefault="0051798D" w:rsidP="0051798D">
            <w:pPr>
              <w:spacing w:after="120" w:line="240" w:lineRule="auto"/>
              <w:jc w:val="left"/>
            </w:pPr>
            <w:r>
              <w:t>0.043** (0.021)</w:t>
            </w:r>
          </w:p>
        </w:tc>
        <w:tc>
          <w:tcPr>
            <w:tcW w:w="1530" w:type="dxa"/>
            <w:tcBorders>
              <w:top w:val="nil"/>
              <w:left w:val="nil"/>
              <w:bottom w:val="nil"/>
              <w:right w:val="nil"/>
            </w:tcBorders>
            <w:shd w:val="clear" w:color="auto" w:fill="auto"/>
            <w:noWrap/>
            <w:vAlign w:val="center"/>
            <w:hideMark/>
          </w:tcPr>
          <w:p w14:paraId="634447A0" w14:textId="51542F52" w:rsidR="0051798D" w:rsidRPr="000E005D" w:rsidRDefault="0051798D" w:rsidP="0051798D">
            <w:pPr>
              <w:spacing w:after="120" w:line="240" w:lineRule="auto"/>
              <w:jc w:val="left"/>
            </w:pPr>
            <w:r>
              <w:t>0.001 (0.025)</w:t>
            </w:r>
          </w:p>
        </w:tc>
        <w:tc>
          <w:tcPr>
            <w:tcW w:w="1440" w:type="dxa"/>
            <w:tcBorders>
              <w:top w:val="nil"/>
              <w:left w:val="nil"/>
              <w:bottom w:val="nil"/>
              <w:right w:val="nil"/>
            </w:tcBorders>
            <w:shd w:val="clear" w:color="auto" w:fill="auto"/>
            <w:noWrap/>
            <w:vAlign w:val="center"/>
            <w:hideMark/>
          </w:tcPr>
          <w:p w14:paraId="4D7CBBF6" w14:textId="418F4CCC" w:rsidR="0051798D" w:rsidRPr="000E005D" w:rsidRDefault="0051798D" w:rsidP="0051798D">
            <w:pPr>
              <w:spacing w:after="120" w:line="240" w:lineRule="auto"/>
              <w:jc w:val="left"/>
            </w:pPr>
            <w:r>
              <w:t>0.002 (0.020)</w:t>
            </w:r>
          </w:p>
        </w:tc>
      </w:tr>
      <w:tr w:rsidR="0051798D" w:rsidRPr="000E005D" w14:paraId="44809723" w14:textId="77777777" w:rsidTr="000E005D">
        <w:trPr>
          <w:trHeight w:val="20"/>
        </w:trPr>
        <w:tc>
          <w:tcPr>
            <w:tcW w:w="3690" w:type="dxa"/>
            <w:tcBorders>
              <w:top w:val="nil"/>
              <w:left w:val="nil"/>
              <w:bottom w:val="nil"/>
              <w:right w:val="nil"/>
            </w:tcBorders>
            <w:shd w:val="clear" w:color="auto" w:fill="auto"/>
            <w:noWrap/>
            <w:vAlign w:val="center"/>
            <w:hideMark/>
          </w:tcPr>
          <w:p w14:paraId="4FC4CB7E" w14:textId="5BAF4978" w:rsidR="0051798D" w:rsidRPr="000E005D" w:rsidRDefault="0051798D" w:rsidP="0051798D">
            <w:pPr>
              <w:spacing w:after="120" w:line="240" w:lineRule="auto"/>
              <w:jc w:val="left"/>
            </w:pPr>
            <w:r w:rsidRPr="000E005D">
              <w:t>Degree-day (above 29°C)</w:t>
            </w:r>
          </w:p>
        </w:tc>
        <w:tc>
          <w:tcPr>
            <w:tcW w:w="1440" w:type="dxa"/>
            <w:tcBorders>
              <w:top w:val="nil"/>
              <w:left w:val="nil"/>
              <w:bottom w:val="nil"/>
              <w:right w:val="nil"/>
            </w:tcBorders>
            <w:shd w:val="clear" w:color="auto" w:fill="auto"/>
            <w:noWrap/>
            <w:vAlign w:val="center"/>
            <w:hideMark/>
          </w:tcPr>
          <w:p w14:paraId="4BBF8CE5" w14:textId="65973A04" w:rsidR="0051798D" w:rsidRPr="000E005D" w:rsidRDefault="0051798D" w:rsidP="0051798D">
            <w:pPr>
              <w:spacing w:after="120" w:line="240" w:lineRule="auto"/>
              <w:jc w:val="left"/>
            </w:pPr>
            <w:r>
              <w:t>-1.490*** (0.200)</w:t>
            </w:r>
          </w:p>
        </w:tc>
        <w:tc>
          <w:tcPr>
            <w:tcW w:w="1530" w:type="dxa"/>
            <w:tcBorders>
              <w:top w:val="nil"/>
              <w:left w:val="nil"/>
              <w:bottom w:val="nil"/>
              <w:right w:val="nil"/>
            </w:tcBorders>
            <w:shd w:val="clear" w:color="auto" w:fill="auto"/>
            <w:noWrap/>
            <w:vAlign w:val="center"/>
            <w:hideMark/>
          </w:tcPr>
          <w:p w14:paraId="0E8D0B28" w14:textId="1F058FA0" w:rsidR="0051798D" w:rsidRPr="000E005D" w:rsidRDefault="0051798D" w:rsidP="0051798D">
            <w:pPr>
              <w:spacing w:after="120" w:line="240" w:lineRule="auto"/>
              <w:jc w:val="left"/>
            </w:pPr>
            <w:r>
              <w:t>-0.792*** (0.175)</w:t>
            </w:r>
          </w:p>
        </w:tc>
        <w:tc>
          <w:tcPr>
            <w:tcW w:w="1440" w:type="dxa"/>
            <w:tcBorders>
              <w:top w:val="nil"/>
              <w:left w:val="nil"/>
              <w:bottom w:val="nil"/>
              <w:right w:val="nil"/>
            </w:tcBorders>
            <w:shd w:val="clear" w:color="auto" w:fill="auto"/>
            <w:noWrap/>
            <w:vAlign w:val="center"/>
            <w:hideMark/>
          </w:tcPr>
          <w:p w14:paraId="53F1A877" w14:textId="12AFE79E" w:rsidR="0051798D" w:rsidRPr="000E005D" w:rsidRDefault="0051798D" w:rsidP="0051798D">
            <w:pPr>
              <w:spacing w:after="120" w:line="240" w:lineRule="auto"/>
              <w:jc w:val="left"/>
            </w:pPr>
            <w:r>
              <w:t>-1.002*** (0.154)</w:t>
            </w:r>
          </w:p>
        </w:tc>
        <w:tc>
          <w:tcPr>
            <w:tcW w:w="1530" w:type="dxa"/>
            <w:tcBorders>
              <w:top w:val="nil"/>
              <w:left w:val="nil"/>
              <w:bottom w:val="nil"/>
              <w:right w:val="nil"/>
            </w:tcBorders>
            <w:shd w:val="clear" w:color="auto" w:fill="auto"/>
            <w:noWrap/>
            <w:vAlign w:val="center"/>
            <w:hideMark/>
          </w:tcPr>
          <w:p w14:paraId="78D8BA23" w14:textId="40AE5DA6" w:rsidR="0051798D" w:rsidRPr="000E005D" w:rsidRDefault="0051798D" w:rsidP="0051798D">
            <w:pPr>
              <w:spacing w:after="120" w:line="240" w:lineRule="auto"/>
              <w:jc w:val="left"/>
            </w:pPr>
            <w:r>
              <w:t>-1.714*** (0.313)</w:t>
            </w:r>
          </w:p>
        </w:tc>
        <w:tc>
          <w:tcPr>
            <w:tcW w:w="1530" w:type="dxa"/>
            <w:tcBorders>
              <w:top w:val="nil"/>
              <w:left w:val="nil"/>
              <w:bottom w:val="nil"/>
              <w:right w:val="nil"/>
            </w:tcBorders>
            <w:shd w:val="clear" w:color="auto" w:fill="auto"/>
            <w:noWrap/>
            <w:vAlign w:val="center"/>
            <w:hideMark/>
          </w:tcPr>
          <w:p w14:paraId="2D69D9E9" w14:textId="79E16954" w:rsidR="0051798D" w:rsidRPr="000E005D" w:rsidRDefault="0051798D" w:rsidP="0051798D">
            <w:pPr>
              <w:spacing w:after="120" w:line="240" w:lineRule="auto"/>
              <w:jc w:val="left"/>
            </w:pPr>
            <w:r>
              <w:t>-1.737*** (0.232)</w:t>
            </w:r>
          </w:p>
        </w:tc>
        <w:tc>
          <w:tcPr>
            <w:tcW w:w="1440" w:type="dxa"/>
            <w:tcBorders>
              <w:top w:val="nil"/>
              <w:left w:val="nil"/>
              <w:bottom w:val="nil"/>
              <w:right w:val="nil"/>
            </w:tcBorders>
            <w:shd w:val="clear" w:color="auto" w:fill="auto"/>
            <w:noWrap/>
            <w:vAlign w:val="center"/>
            <w:hideMark/>
          </w:tcPr>
          <w:p w14:paraId="50D98999" w14:textId="34F8BF6B" w:rsidR="0051798D" w:rsidRPr="000E005D" w:rsidRDefault="0051798D" w:rsidP="0051798D">
            <w:pPr>
              <w:spacing w:after="120" w:line="240" w:lineRule="auto"/>
              <w:jc w:val="left"/>
            </w:pPr>
            <w:r>
              <w:t>-1.395*** (0.239)</w:t>
            </w:r>
          </w:p>
        </w:tc>
      </w:tr>
      <w:tr w:rsidR="0051798D" w:rsidRPr="000E005D" w14:paraId="740AB85D" w14:textId="77777777" w:rsidTr="000E005D">
        <w:trPr>
          <w:trHeight w:val="20"/>
        </w:trPr>
        <w:tc>
          <w:tcPr>
            <w:tcW w:w="3690" w:type="dxa"/>
            <w:tcBorders>
              <w:top w:val="nil"/>
              <w:left w:val="nil"/>
              <w:right w:val="nil"/>
            </w:tcBorders>
            <w:shd w:val="clear" w:color="auto" w:fill="auto"/>
            <w:noWrap/>
            <w:vAlign w:val="center"/>
            <w:hideMark/>
          </w:tcPr>
          <w:p w14:paraId="1432EA6A" w14:textId="2E8BECAB" w:rsidR="0051798D" w:rsidRPr="000E005D" w:rsidRDefault="0051798D" w:rsidP="0051798D">
            <w:pPr>
              <w:spacing w:after="120" w:line="240" w:lineRule="auto"/>
              <w:jc w:val="left"/>
            </w:pPr>
            <w:r w:rsidRPr="000E005D">
              <w:t>Precipitation (inches)</w:t>
            </w:r>
          </w:p>
        </w:tc>
        <w:tc>
          <w:tcPr>
            <w:tcW w:w="1440" w:type="dxa"/>
            <w:tcBorders>
              <w:top w:val="nil"/>
              <w:left w:val="nil"/>
              <w:right w:val="nil"/>
            </w:tcBorders>
            <w:shd w:val="clear" w:color="auto" w:fill="auto"/>
            <w:noWrap/>
            <w:vAlign w:val="center"/>
            <w:hideMark/>
          </w:tcPr>
          <w:p w14:paraId="0057B00A" w14:textId="7821EFB7" w:rsidR="0051798D" w:rsidRPr="000E005D" w:rsidRDefault="0051798D" w:rsidP="0051798D">
            <w:pPr>
              <w:spacing w:after="120" w:line="240" w:lineRule="auto"/>
              <w:jc w:val="left"/>
            </w:pPr>
            <w:r>
              <w:t>23.395*** (3.500)</w:t>
            </w:r>
          </w:p>
        </w:tc>
        <w:tc>
          <w:tcPr>
            <w:tcW w:w="1530" w:type="dxa"/>
            <w:tcBorders>
              <w:top w:val="nil"/>
              <w:left w:val="nil"/>
              <w:right w:val="nil"/>
            </w:tcBorders>
            <w:shd w:val="clear" w:color="auto" w:fill="auto"/>
            <w:noWrap/>
            <w:vAlign w:val="center"/>
            <w:hideMark/>
          </w:tcPr>
          <w:p w14:paraId="3F0926B5" w14:textId="26107B20" w:rsidR="0051798D" w:rsidRPr="000E005D" w:rsidRDefault="0051798D" w:rsidP="0051798D">
            <w:pPr>
              <w:spacing w:after="120" w:line="240" w:lineRule="auto"/>
              <w:jc w:val="left"/>
            </w:pPr>
            <w:r>
              <w:t>34.901*** (4.520)</w:t>
            </w:r>
          </w:p>
        </w:tc>
        <w:tc>
          <w:tcPr>
            <w:tcW w:w="1440" w:type="dxa"/>
            <w:tcBorders>
              <w:top w:val="nil"/>
              <w:left w:val="nil"/>
              <w:right w:val="nil"/>
            </w:tcBorders>
            <w:shd w:val="clear" w:color="auto" w:fill="auto"/>
            <w:noWrap/>
            <w:vAlign w:val="center"/>
            <w:hideMark/>
          </w:tcPr>
          <w:p w14:paraId="5D1EB4A3" w14:textId="5D897BA8" w:rsidR="0051798D" w:rsidRPr="000E005D" w:rsidRDefault="0051798D" w:rsidP="0051798D">
            <w:pPr>
              <w:spacing w:after="120" w:line="240" w:lineRule="auto"/>
              <w:jc w:val="left"/>
            </w:pPr>
            <w:r>
              <w:t>30.469*** (4.070)</w:t>
            </w:r>
          </w:p>
        </w:tc>
        <w:tc>
          <w:tcPr>
            <w:tcW w:w="1530" w:type="dxa"/>
            <w:tcBorders>
              <w:top w:val="nil"/>
              <w:left w:val="nil"/>
              <w:right w:val="nil"/>
            </w:tcBorders>
            <w:shd w:val="clear" w:color="auto" w:fill="auto"/>
            <w:noWrap/>
            <w:vAlign w:val="center"/>
            <w:hideMark/>
          </w:tcPr>
          <w:p w14:paraId="7E04B2FE" w14:textId="556EBD7B" w:rsidR="0051798D" w:rsidRPr="000E005D" w:rsidRDefault="0051798D" w:rsidP="0051798D">
            <w:pPr>
              <w:spacing w:after="120" w:line="240" w:lineRule="auto"/>
              <w:jc w:val="left"/>
            </w:pPr>
            <w:r>
              <w:t>19.795*** (3.173)</w:t>
            </w:r>
          </w:p>
        </w:tc>
        <w:tc>
          <w:tcPr>
            <w:tcW w:w="1530" w:type="dxa"/>
            <w:tcBorders>
              <w:top w:val="nil"/>
              <w:left w:val="nil"/>
              <w:right w:val="nil"/>
            </w:tcBorders>
            <w:shd w:val="clear" w:color="auto" w:fill="auto"/>
            <w:noWrap/>
            <w:vAlign w:val="center"/>
            <w:hideMark/>
          </w:tcPr>
          <w:p w14:paraId="1553BC0D" w14:textId="740DE350" w:rsidR="0051798D" w:rsidRPr="000E005D" w:rsidRDefault="0051798D" w:rsidP="0051798D">
            <w:pPr>
              <w:spacing w:after="120" w:line="240" w:lineRule="auto"/>
              <w:jc w:val="left"/>
            </w:pPr>
            <w:r>
              <w:t>16.767*** (2.702)</w:t>
            </w:r>
          </w:p>
        </w:tc>
        <w:tc>
          <w:tcPr>
            <w:tcW w:w="1440" w:type="dxa"/>
            <w:tcBorders>
              <w:top w:val="nil"/>
              <w:left w:val="nil"/>
              <w:right w:val="nil"/>
            </w:tcBorders>
            <w:shd w:val="clear" w:color="auto" w:fill="auto"/>
            <w:noWrap/>
            <w:vAlign w:val="center"/>
            <w:hideMark/>
          </w:tcPr>
          <w:p w14:paraId="48620947" w14:textId="634E7C6F" w:rsidR="0051798D" w:rsidRPr="000E005D" w:rsidRDefault="0051798D" w:rsidP="0051798D">
            <w:pPr>
              <w:spacing w:after="120" w:line="240" w:lineRule="auto"/>
              <w:jc w:val="left"/>
            </w:pPr>
            <w:r>
              <w:t>17.007*** (2.838)</w:t>
            </w:r>
          </w:p>
        </w:tc>
      </w:tr>
      <w:tr w:rsidR="0051798D" w:rsidRPr="000E005D" w14:paraId="36B7A229" w14:textId="77777777" w:rsidTr="000E005D">
        <w:trPr>
          <w:trHeight w:val="20"/>
        </w:trPr>
        <w:tc>
          <w:tcPr>
            <w:tcW w:w="3690" w:type="dxa"/>
            <w:tcBorders>
              <w:top w:val="nil"/>
              <w:left w:val="nil"/>
              <w:bottom w:val="single" w:sz="4" w:space="0" w:color="auto"/>
              <w:right w:val="nil"/>
            </w:tcBorders>
            <w:shd w:val="clear" w:color="auto" w:fill="auto"/>
            <w:noWrap/>
            <w:vAlign w:val="center"/>
            <w:hideMark/>
          </w:tcPr>
          <w:p w14:paraId="5A4FC43D" w14:textId="46A0C2B8" w:rsidR="0051798D" w:rsidRPr="000E005D" w:rsidRDefault="0051798D" w:rsidP="0051798D">
            <w:pPr>
              <w:spacing w:after="120" w:line="240" w:lineRule="auto"/>
              <w:jc w:val="left"/>
            </w:pPr>
            <w:r w:rsidRPr="000E005D">
              <w:t>Precipitation (inches) squared</w:t>
            </w:r>
          </w:p>
        </w:tc>
        <w:tc>
          <w:tcPr>
            <w:tcW w:w="1440" w:type="dxa"/>
            <w:tcBorders>
              <w:top w:val="nil"/>
              <w:left w:val="nil"/>
              <w:bottom w:val="single" w:sz="4" w:space="0" w:color="auto"/>
              <w:right w:val="nil"/>
            </w:tcBorders>
            <w:shd w:val="clear" w:color="auto" w:fill="auto"/>
            <w:noWrap/>
            <w:vAlign w:val="center"/>
            <w:hideMark/>
          </w:tcPr>
          <w:p w14:paraId="41284D20" w14:textId="45D7C859" w:rsidR="0051798D" w:rsidRPr="000E005D" w:rsidRDefault="0051798D" w:rsidP="0051798D">
            <w:pPr>
              <w:spacing w:after="120" w:line="240" w:lineRule="auto"/>
              <w:jc w:val="left"/>
            </w:pPr>
            <w:r>
              <w:t>-0.321*** (0.062)</w:t>
            </w:r>
          </w:p>
        </w:tc>
        <w:tc>
          <w:tcPr>
            <w:tcW w:w="1530" w:type="dxa"/>
            <w:tcBorders>
              <w:top w:val="nil"/>
              <w:left w:val="nil"/>
              <w:bottom w:val="single" w:sz="4" w:space="0" w:color="auto"/>
              <w:right w:val="nil"/>
            </w:tcBorders>
            <w:shd w:val="clear" w:color="auto" w:fill="auto"/>
            <w:noWrap/>
            <w:vAlign w:val="center"/>
            <w:hideMark/>
          </w:tcPr>
          <w:p w14:paraId="42238CDB" w14:textId="3537F13C" w:rsidR="0051798D" w:rsidRPr="000E005D" w:rsidRDefault="0051798D" w:rsidP="0051798D">
            <w:pPr>
              <w:spacing w:after="120" w:line="240" w:lineRule="auto"/>
              <w:jc w:val="left"/>
            </w:pPr>
            <w:r>
              <w:t>-0.619*** (0.112)</w:t>
            </w:r>
          </w:p>
        </w:tc>
        <w:tc>
          <w:tcPr>
            <w:tcW w:w="1440" w:type="dxa"/>
            <w:tcBorders>
              <w:top w:val="nil"/>
              <w:left w:val="nil"/>
              <w:bottom w:val="single" w:sz="4" w:space="0" w:color="auto"/>
              <w:right w:val="nil"/>
            </w:tcBorders>
            <w:shd w:val="clear" w:color="auto" w:fill="auto"/>
            <w:noWrap/>
            <w:vAlign w:val="center"/>
            <w:hideMark/>
          </w:tcPr>
          <w:p w14:paraId="68DF8B4B" w14:textId="1114B538" w:rsidR="0051798D" w:rsidRPr="000E005D" w:rsidRDefault="0051798D" w:rsidP="0051798D">
            <w:pPr>
              <w:spacing w:after="120" w:line="240" w:lineRule="auto"/>
              <w:jc w:val="left"/>
            </w:pPr>
            <w:r>
              <w:t>-0.478*** (0.085)</w:t>
            </w:r>
          </w:p>
        </w:tc>
        <w:tc>
          <w:tcPr>
            <w:tcW w:w="1530" w:type="dxa"/>
            <w:tcBorders>
              <w:top w:val="nil"/>
              <w:left w:val="nil"/>
              <w:bottom w:val="single" w:sz="4" w:space="0" w:color="auto"/>
              <w:right w:val="nil"/>
            </w:tcBorders>
            <w:shd w:val="clear" w:color="auto" w:fill="auto"/>
            <w:noWrap/>
            <w:vAlign w:val="center"/>
            <w:hideMark/>
          </w:tcPr>
          <w:p w14:paraId="62EF9F00" w14:textId="4FA1934A" w:rsidR="0051798D" w:rsidRPr="000E005D" w:rsidRDefault="0051798D" w:rsidP="0051798D">
            <w:pPr>
              <w:spacing w:after="120" w:line="240" w:lineRule="auto"/>
              <w:jc w:val="left"/>
            </w:pPr>
            <w:r>
              <w:t>-0.241*** (0.046)</w:t>
            </w:r>
          </w:p>
        </w:tc>
        <w:tc>
          <w:tcPr>
            <w:tcW w:w="1530" w:type="dxa"/>
            <w:tcBorders>
              <w:top w:val="nil"/>
              <w:left w:val="nil"/>
              <w:bottom w:val="single" w:sz="4" w:space="0" w:color="auto"/>
              <w:right w:val="nil"/>
            </w:tcBorders>
            <w:shd w:val="clear" w:color="auto" w:fill="auto"/>
            <w:noWrap/>
            <w:vAlign w:val="center"/>
            <w:hideMark/>
          </w:tcPr>
          <w:p w14:paraId="1DB3AC47" w14:textId="7F118C87" w:rsidR="0051798D" w:rsidRPr="000E005D" w:rsidRDefault="0051798D" w:rsidP="0051798D">
            <w:pPr>
              <w:spacing w:after="120" w:line="240" w:lineRule="auto"/>
              <w:jc w:val="left"/>
            </w:pPr>
            <w:r>
              <w:t>-0.182*** (0.035)</w:t>
            </w:r>
          </w:p>
        </w:tc>
        <w:tc>
          <w:tcPr>
            <w:tcW w:w="1440" w:type="dxa"/>
            <w:tcBorders>
              <w:top w:val="nil"/>
              <w:left w:val="nil"/>
              <w:bottom w:val="single" w:sz="4" w:space="0" w:color="auto"/>
              <w:right w:val="nil"/>
            </w:tcBorders>
            <w:shd w:val="clear" w:color="auto" w:fill="auto"/>
            <w:noWrap/>
            <w:vAlign w:val="center"/>
            <w:hideMark/>
          </w:tcPr>
          <w:p w14:paraId="10E4DB24" w14:textId="11ABE209" w:rsidR="0051798D" w:rsidRPr="000E005D" w:rsidRDefault="0051798D" w:rsidP="0051798D">
            <w:pPr>
              <w:spacing w:after="120" w:line="240" w:lineRule="auto"/>
              <w:jc w:val="left"/>
            </w:pPr>
            <w:r>
              <w:t>-0.165*** (0.034)</w:t>
            </w:r>
          </w:p>
        </w:tc>
      </w:tr>
      <w:tr w:rsidR="0051798D" w:rsidRPr="000E005D" w14:paraId="0935C4AC" w14:textId="77777777" w:rsidTr="000E005D">
        <w:trPr>
          <w:trHeight w:val="20"/>
        </w:trPr>
        <w:tc>
          <w:tcPr>
            <w:tcW w:w="3690" w:type="dxa"/>
            <w:tcBorders>
              <w:top w:val="single" w:sz="4" w:space="0" w:color="auto"/>
              <w:left w:val="nil"/>
              <w:bottom w:val="nil"/>
              <w:right w:val="nil"/>
            </w:tcBorders>
            <w:shd w:val="clear" w:color="auto" w:fill="auto"/>
            <w:noWrap/>
            <w:vAlign w:val="center"/>
            <w:hideMark/>
          </w:tcPr>
          <w:p w14:paraId="25CB9673" w14:textId="77777777" w:rsidR="0051798D" w:rsidRPr="000E005D" w:rsidRDefault="0051798D" w:rsidP="0051798D">
            <w:pPr>
              <w:spacing w:before="120" w:after="120" w:line="240" w:lineRule="auto"/>
              <w:jc w:val="left"/>
            </w:pPr>
            <w:r w:rsidRPr="000E005D">
              <w:t>No. of observations</w:t>
            </w:r>
          </w:p>
        </w:tc>
        <w:tc>
          <w:tcPr>
            <w:tcW w:w="1440" w:type="dxa"/>
            <w:tcBorders>
              <w:top w:val="single" w:sz="4" w:space="0" w:color="auto"/>
              <w:left w:val="nil"/>
              <w:bottom w:val="nil"/>
              <w:right w:val="nil"/>
            </w:tcBorders>
            <w:shd w:val="clear" w:color="auto" w:fill="auto"/>
            <w:noWrap/>
            <w:vAlign w:val="center"/>
            <w:hideMark/>
          </w:tcPr>
          <w:p w14:paraId="0E578CF3" w14:textId="67D4AAD3" w:rsidR="0051798D" w:rsidRPr="000E005D" w:rsidRDefault="0051798D" w:rsidP="0051798D">
            <w:pPr>
              <w:spacing w:before="120" w:after="120" w:line="240" w:lineRule="auto"/>
              <w:jc w:val="left"/>
            </w:pPr>
            <w:r>
              <w:t>62,987</w:t>
            </w:r>
          </w:p>
        </w:tc>
        <w:tc>
          <w:tcPr>
            <w:tcW w:w="1530" w:type="dxa"/>
            <w:tcBorders>
              <w:top w:val="single" w:sz="4" w:space="0" w:color="auto"/>
              <w:left w:val="nil"/>
              <w:bottom w:val="nil"/>
              <w:right w:val="nil"/>
            </w:tcBorders>
            <w:shd w:val="clear" w:color="auto" w:fill="auto"/>
            <w:noWrap/>
            <w:vAlign w:val="center"/>
            <w:hideMark/>
          </w:tcPr>
          <w:p w14:paraId="4FC71194" w14:textId="75F6B2E0" w:rsidR="0051798D" w:rsidRPr="000E005D" w:rsidRDefault="0051798D" w:rsidP="0051798D">
            <w:pPr>
              <w:spacing w:before="120" w:after="120" w:line="240" w:lineRule="auto"/>
              <w:jc w:val="left"/>
            </w:pPr>
            <w:r>
              <w:t>62,987</w:t>
            </w:r>
          </w:p>
        </w:tc>
        <w:tc>
          <w:tcPr>
            <w:tcW w:w="1440" w:type="dxa"/>
            <w:tcBorders>
              <w:top w:val="single" w:sz="4" w:space="0" w:color="auto"/>
              <w:left w:val="nil"/>
              <w:bottom w:val="nil"/>
              <w:right w:val="nil"/>
            </w:tcBorders>
            <w:shd w:val="clear" w:color="auto" w:fill="auto"/>
            <w:noWrap/>
            <w:vAlign w:val="center"/>
            <w:hideMark/>
          </w:tcPr>
          <w:p w14:paraId="22FA49A9" w14:textId="729B4F57" w:rsidR="0051798D" w:rsidRPr="000E005D" w:rsidRDefault="0051798D" w:rsidP="0051798D">
            <w:pPr>
              <w:spacing w:before="120" w:after="120" w:line="240" w:lineRule="auto"/>
              <w:jc w:val="left"/>
            </w:pPr>
            <w:r>
              <w:t>62,987</w:t>
            </w:r>
          </w:p>
        </w:tc>
        <w:tc>
          <w:tcPr>
            <w:tcW w:w="1530" w:type="dxa"/>
            <w:tcBorders>
              <w:top w:val="single" w:sz="4" w:space="0" w:color="auto"/>
              <w:left w:val="nil"/>
              <w:bottom w:val="nil"/>
              <w:right w:val="nil"/>
            </w:tcBorders>
            <w:shd w:val="clear" w:color="auto" w:fill="auto"/>
            <w:noWrap/>
            <w:vAlign w:val="center"/>
            <w:hideMark/>
          </w:tcPr>
          <w:p w14:paraId="76E8ABA3" w14:textId="65BCD438" w:rsidR="0051798D" w:rsidRPr="000E005D" w:rsidRDefault="0051798D" w:rsidP="0051798D">
            <w:pPr>
              <w:spacing w:before="120" w:after="120" w:line="240" w:lineRule="auto"/>
              <w:jc w:val="left"/>
            </w:pPr>
            <w:r>
              <w:t>62,874</w:t>
            </w:r>
          </w:p>
        </w:tc>
        <w:tc>
          <w:tcPr>
            <w:tcW w:w="1530" w:type="dxa"/>
            <w:tcBorders>
              <w:top w:val="single" w:sz="4" w:space="0" w:color="auto"/>
              <w:left w:val="nil"/>
              <w:bottom w:val="nil"/>
              <w:right w:val="nil"/>
            </w:tcBorders>
            <w:shd w:val="clear" w:color="auto" w:fill="auto"/>
            <w:noWrap/>
            <w:vAlign w:val="center"/>
            <w:hideMark/>
          </w:tcPr>
          <w:p w14:paraId="570D84D9" w14:textId="1271CC76" w:rsidR="0051798D" w:rsidRPr="000E005D" w:rsidRDefault="0051798D" w:rsidP="0051798D">
            <w:pPr>
              <w:spacing w:before="120" w:after="120" w:line="240" w:lineRule="auto"/>
              <w:jc w:val="left"/>
            </w:pPr>
            <w:r>
              <w:t>62,860</w:t>
            </w:r>
          </w:p>
        </w:tc>
        <w:tc>
          <w:tcPr>
            <w:tcW w:w="1440" w:type="dxa"/>
            <w:tcBorders>
              <w:top w:val="single" w:sz="4" w:space="0" w:color="auto"/>
              <w:left w:val="nil"/>
              <w:bottom w:val="nil"/>
              <w:right w:val="nil"/>
            </w:tcBorders>
            <w:shd w:val="clear" w:color="auto" w:fill="auto"/>
            <w:noWrap/>
            <w:vAlign w:val="center"/>
            <w:hideMark/>
          </w:tcPr>
          <w:p w14:paraId="3CAE63C1" w14:textId="29D8B0D3" w:rsidR="0051798D" w:rsidRPr="000E005D" w:rsidRDefault="0051798D" w:rsidP="0051798D">
            <w:pPr>
              <w:spacing w:before="120" w:after="120" w:line="240" w:lineRule="auto"/>
              <w:jc w:val="left"/>
            </w:pPr>
            <w:r>
              <w:t>62,860</w:t>
            </w:r>
          </w:p>
        </w:tc>
      </w:tr>
      <w:tr w:rsidR="00606D48" w:rsidRPr="000E005D" w14:paraId="028E3854" w14:textId="77777777" w:rsidTr="000E005D">
        <w:trPr>
          <w:trHeight w:val="20"/>
        </w:trPr>
        <w:tc>
          <w:tcPr>
            <w:tcW w:w="3690" w:type="dxa"/>
            <w:tcBorders>
              <w:top w:val="nil"/>
              <w:left w:val="nil"/>
              <w:bottom w:val="nil"/>
              <w:right w:val="nil"/>
            </w:tcBorders>
            <w:shd w:val="clear" w:color="auto" w:fill="auto"/>
            <w:noWrap/>
            <w:vAlign w:val="center"/>
            <w:hideMark/>
          </w:tcPr>
          <w:p w14:paraId="6EC6C0FD" w14:textId="259965C3" w:rsidR="00606D48" w:rsidRPr="000E005D" w:rsidRDefault="00606D48" w:rsidP="002C2C08">
            <w:pPr>
              <w:spacing w:after="120" w:line="240" w:lineRule="auto"/>
              <w:jc w:val="left"/>
            </w:pPr>
            <w:r w:rsidRPr="000E005D">
              <w:t>No. of counties</w:t>
            </w:r>
          </w:p>
        </w:tc>
        <w:tc>
          <w:tcPr>
            <w:tcW w:w="1440" w:type="dxa"/>
            <w:tcBorders>
              <w:top w:val="nil"/>
              <w:left w:val="nil"/>
              <w:bottom w:val="nil"/>
              <w:right w:val="nil"/>
            </w:tcBorders>
            <w:shd w:val="clear" w:color="auto" w:fill="auto"/>
            <w:noWrap/>
            <w:vAlign w:val="center"/>
            <w:hideMark/>
          </w:tcPr>
          <w:p w14:paraId="59E6A730" w14:textId="415DFD00" w:rsidR="00606D48" w:rsidRPr="000E005D" w:rsidRDefault="00606D48" w:rsidP="002C2C08">
            <w:pPr>
              <w:spacing w:after="120" w:line="240" w:lineRule="auto"/>
              <w:jc w:val="left"/>
              <w:rPr>
                <w:rFonts w:eastAsia="Times New Roman"/>
              </w:rPr>
            </w:pPr>
            <w:r w:rsidRPr="000E005D">
              <w:t>1,877</w:t>
            </w:r>
          </w:p>
        </w:tc>
        <w:tc>
          <w:tcPr>
            <w:tcW w:w="1530" w:type="dxa"/>
            <w:tcBorders>
              <w:top w:val="nil"/>
              <w:left w:val="nil"/>
              <w:bottom w:val="nil"/>
              <w:right w:val="nil"/>
            </w:tcBorders>
            <w:shd w:val="clear" w:color="auto" w:fill="auto"/>
            <w:noWrap/>
            <w:vAlign w:val="center"/>
            <w:hideMark/>
          </w:tcPr>
          <w:p w14:paraId="00A8D141" w14:textId="4DE80EAB" w:rsidR="00606D48" w:rsidRPr="000E005D" w:rsidRDefault="00606D48" w:rsidP="002C2C08">
            <w:pPr>
              <w:spacing w:after="120" w:line="240" w:lineRule="auto"/>
              <w:jc w:val="left"/>
              <w:rPr>
                <w:rFonts w:eastAsia="Times New Roman"/>
              </w:rPr>
            </w:pPr>
            <w:r w:rsidRPr="000E005D">
              <w:t>1,877</w:t>
            </w:r>
          </w:p>
        </w:tc>
        <w:tc>
          <w:tcPr>
            <w:tcW w:w="1440" w:type="dxa"/>
            <w:tcBorders>
              <w:top w:val="nil"/>
              <w:left w:val="nil"/>
              <w:bottom w:val="nil"/>
              <w:right w:val="nil"/>
            </w:tcBorders>
            <w:shd w:val="clear" w:color="auto" w:fill="auto"/>
            <w:noWrap/>
            <w:vAlign w:val="center"/>
            <w:hideMark/>
          </w:tcPr>
          <w:p w14:paraId="677064E8" w14:textId="1CFE29CD" w:rsidR="00606D48" w:rsidRPr="000E005D" w:rsidRDefault="00606D48" w:rsidP="002C2C08">
            <w:pPr>
              <w:spacing w:after="120" w:line="240" w:lineRule="auto"/>
              <w:jc w:val="left"/>
              <w:rPr>
                <w:rFonts w:eastAsia="Times New Roman"/>
              </w:rPr>
            </w:pPr>
            <w:r w:rsidRPr="000E005D">
              <w:t>1,877</w:t>
            </w:r>
          </w:p>
        </w:tc>
        <w:tc>
          <w:tcPr>
            <w:tcW w:w="1530" w:type="dxa"/>
            <w:tcBorders>
              <w:top w:val="nil"/>
              <w:left w:val="nil"/>
              <w:bottom w:val="nil"/>
              <w:right w:val="nil"/>
            </w:tcBorders>
            <w:shd w:val="clear" w:color="auto" w:fill="auto"/>
            <w:noWrap/>
            <w:vAlign w:val="center"/>
            <w:hideMark/>
          </w:tcPr>
          <w:p w14:paraId="5DDBFE42" w14:textId="6D2A6F3D" w:rsidR="00606D48" w:rsidRPr="000E005D" w:rsidRDefault="00606D48" w:rsidP="002C2C08">
            <w:pPr>
              <w:spacing w:after="120" w:line="240" w:lineRule="auto"/>
              <w:jc w:val="left"/>
              <w:rPr>
                <w:rFonts w:eastAsia="Times New Roman"/>
              </w:rPr>
            </w:pPr>
            <w:r w:rsidRPr="000E005D">
              <w:t>1,877</w:t>
            </w:r>
          </w:p>
        </w:tc>
        <w:tc>
          <w:tcPr>
            <w:tcW w:w="1530" w:type="dxa"/>
            <w:tcBorders>
              <w:top w:val="nil"/>
              <w:left w:val="nil"/>
              <w:bottom w:val="nil"/>
              <w:right w:val="nil"/>
            </w:tcBorders>
            <w:shd w:val="clear" w:color="auto" w:fill="auto"/>
            <w:noWrap/>
            <w:vAlign w:val="center"/>
            <w:hideMark/>
          </w:tcPr>
          <w:p w14:paraId="5BB61772" w14:textId="11D13570" w:rsidR="00606D48" w:rsidRPr="000E005D" w:rsidRDefault="00606D48" w:rsidP="002C2C08">
            <w:pPr>
              <w:spacing w:after="120" w:line="240" w:lineRule="auto"/>
              <w:jc w:val="left"/>
              <w:rPr>
                <w:rFonts w:eastAsia="Times New Roman"/>
              </w:rPr>
            </w:pPr>
            <w:r w:rsidRPr="000E005D">
              <w:t>1,877</w:t>
            </w:r>
          </w:p>
        </w:tc>
        <w:tc>
          <w:tcPr>
            <w:tcW w:w="1440" w:type="dxa"/>
            <w:tcBorders>
              <w:top w:val="nil"/>
              <w:left w:val="nil"/>
              <w:bottom w:val="nil"/>
              <w:right w:val="nil"/>
            </w:tcBorders>
            <w:shd w:val="clear" w:color="auto" w:fill="auto"/>
            <w:noWrap/>
            <w:vAlign w:val="center"/>
            <w:hideMark/>
          </w:tcPr>
          <w:p w14:paraId="73AE58B6" w14:textId="5415C917" w:rsidR="00606D48" w:rsidRPr="000E005D" w:rsidRDefault="00606D48" w:rsidP="002C2C08">
            <w:pPr>
              <w:spacing w:after="120" w:line="240" w:lineRule="auto"/>
              <w:jc w:val="left"/>
              <w:rPr>
                <w:rFonts w:eastAsia="Times New Roman"/>
              </w:rPr>
            </w:pPr>
            <w:r w:rsidRPr="000E005D">
              <w:t>1,877</w:t>
            </w:r>
          </w:p>
        </w:tc>
      </w:tr>
      <w:tr w:rsidR="00FD4C38" w:rsidRPr="000E005D" w14:paraId="27413F5F" w14:textId="77777777" w:rsidTr="000E005D">
        <w:trPr>
          <w:trHeight w:val="20"/>
        </w:trPr>
        <w:tc>
          <w:tcPr>
            <w:tcW w:w="3690" w:type="dxa"/>
            <w:tcBorders>
              <w:top w:val="nil"/>
              <w:left w:val="nil"/>
              <w:bottom w:val="nil"/>
              <w:right w:val="nil"/>
            </w:tcBorders>
            <w:shd w:val="clear" w:color="auto" w:fill="auto"/>
            <w:noWrap/>
            <w:vAlign w:val="center"/>
            <w:hideMark/>
          </w:tcPr>
          <w:p w14:paraId="2513ABE2" w14:textId="2DE152D1" w:rsidR="00FD4C38" w:rsidRPr="000E005D" w:rsidRDefault="00FD4C38" w:rsidP="00FD4C38">
            <w:pPr>
              <w:spacing w:after="120" w:line="240" w:lineRule="auto"/>
              <w:jc w:val="left"/>
            </w:pPr>
            <w:r w:rsidRPr="000E005D">
              <w:t>R-squared</w:t>
            </w:r>
          </w:p>
        </w:tc>
        <w:tc>
          <w:tcPr>
            <w:tcW w:w="1440" w:type="dxa"/>
            <w:tcBorders>
              <w:top w:val="nil"/>
              <w:left w:val="nil"/>
              <w:bottom w:val="nil"/>
              <w:right w:val="nil"/>
            </w:tcBorders>
            <w:shd w:val="clear" w:color="auto" w:fill="auto"/>
            <w:noWrap/>
            <w:vAlign w:val="center"/>
            <w:hideMark/>
          </w:tcPr>
          <w:p w14:paraId="7EB5CDE0" w14:textId="7CCD25CF" w:rsidR="00FD4C38" w:rsidRPr="000E005D" w:rsidRDefault="00FD4C38" w:rsidP="00FD4C38">
            <w:pPr>
              <w:spacing w:after="120" w:line="240" w:lineRule="auto"/>
              <w:jc w:val="left"/>
            </w:pPr>
            <w:r>
              <w:t>0.265</w:t>
            </w:r>
          </w:p>
        </w:tc>
        <w:tc>
          <w:tcPr>
            <w:tcW w:w="1530" w:type="dxa"/>
            <w:tcBorders>
              <w:top w:val="nil"/>
              <w:left w:val="nil"/>
              <w:bottom w:val="nil"/>
              <w:right w:val="nil"/>
            </w:tcBorders>
            <w:shd w:val="clear" w:color="auto" w:fill="auto"/>
            <w:noWrap/>
            <w:vAlign w:val="center"/>
            <w:hideMark/>
          </w:tcPr>
          <w:p w14:paraId="1FA7F3E0" w14:textId="0F2CBFE4" w:rsidR="00FD4C38" w:rsidRPr="000E005D" w:rsidRDefault="00FD4C38" w:rsidP="00FD4C38">
            <w:pPr>
              <w:spacing w:after="120" w:line="240" w:lineRule="auto"/>
              <w:jc w:val="left"/>
            </w:pPr>
            <w:r>
              <w:t>0.253</w:t>
            </w:r>
          </w:p>
        </w:tc>
        <w:tc>
          <w:tcPr>
            <w:tcW w:w="1440" w:type="dxa"/>
            <w:tcBorders>
              <w:top w:val="nil"/>
              <w:left w:val="nil"/>
              <w:bottom w:val="nil"/>
              <w:right w:val="nil"/>
            </w:tcBorders>
            <w:shd w:val="clear" w:color="auto" w:fill="auto"/>
            <w:noWrap/>
            <w:vAlign w:val="center"/>
            <w:hideMark/>
          </w:tcPr>
          <w:p w14:paraId="0943A8A0" w14:textId="63944661" w:rsidR="00FD4C38" w:rsidRPr="000E005D" w:rsidRDefault="00FD4C38" w:rsidP="00FD4C38">
            <w:pPr>
              <w:spacing w:after="120" w:line="240" w:lineRule="auto"/>
              <w:jc w:val="left"/>
            </w:pPr>
            <w:r>
              <w:t>0.257</w:t>
            </w:r>
          </w:p>
        </w:tc>
        <w:tc>
          <w:tcPr>
            <w:tcW w:w="1530" w:type="dxa"/>
            <w:tcBorders>
              <w:top w:val="nil"/>
              <w:left w:val="nil"/>
              <w:bottom w:val="nil"/>
              <w:right w:val="nil"/>
            </w:tcBorders>
            <w:shd w:val="clear" w:color="auto" w:fill="auto"/>
            <w:noWrap/>
            <w:vAlign w:val="center"/>
            <w:hideMark/>
          </w:tcPr>
          <w:p w14:paraId="03A8CA36" w14:textId="66719690" w:rsidR="00FD4C38" w:rsidRPr="000E005D" w:rsidRDefault="00FD4C38" w:rsidP="00FD4C38">
            <w:pPr>
              <w:spacing w:after="120" w:line="240" w:lineRule="auto"/>
              <w:jc w:val="left"/>
            </w:pPr>
            <w:r>
              <w:t>0.264</w:t>
            </w:r>
          </w:p>
        </w:tc>
        <w:tc>
          <w:tcPr>
            <w:tcW w:w="1530" w:type="dxa"/>
            <w:tcBorders>
              <w:top w:val="nil"/>
              <w:left w:val="nil"/>
              <w:bottom w:val="nil"/>
              <w:right w:val="nil"/>
            </w:tcBorders>
            <w:shd w:val="clear" w:color="auto" w:fill="auto"/>
            <w:noWrap/>
            <w:vAlign w:val="center"/>
            <w:hideMark/>
          </w:tcPr>
          <w:p w14:paraId="7D62230D" w14:textId="4CCECC8C" w:rsidR="00FD4C38" w:rsidRPr="000E005D" w:rsidRDefault="00FD4C38" w:rsidP="00FD4C38">
            <w:pPr>
              <w:spacing w:after="120" w:line="240" w:lineRule="auto"/>
              <w:jc w:val="left"/>
            </w:pPr>
            <w:r>
              <w:t>0.263</w:t>
            </w:r>
          </w:p>
        </w:tc>
        <w:tc>
          <w:tcPr>
            <w:tcW w:w="1440" w:type="dxa"/>
            <w:tcBorders>
              <w:top w:val="nil"/>
              <w:left w:val="nil"/>
              <w:bottom w:val="nil"/>
              <w:right w:val="nil"/>
            </w:tcBorders>
            <w:shd w:val="clear" w:color="auto" w:fill="auto"/>
            <w:noWrap/>
            <w:vAlign w:val="center"/>
            <w:hideMark/>
          </w:tcPr>
          <w:p w14:paraId="38E794B9" w14:textId="2D311A30" w:rsidR="00FD4C38" w:rsidRPr="000E005D" w:rsidRDefault="00FD4C38" w:rsidP="00FD4C38">
            <w:pPr>
              <w:spacing w:after="120" w:line="240" w:lineRule="auto"/>
              <w:jc w:val="left"/>
            </w:pPr>
            <w:r>
              <w:t>0.248</w:t>
            </w:r>
          </w:p>
        </w:tc>
      </w:tr>
      <w:tr w:rsidR="00FD4C38" w:rsidRPr="000E005D" w14:paraId="6414FADB" w14:textId="77777777" w:rsidTr="000E005D">
        <w:trPr>
          <w:trHeight w:val="20"/>
        </w:trPr>
        <w:tc>
          <w:tcPr>
            <w:tcW w:w="3690" w:type="dxa"/>
            <w:tcBorders>
              <w:top w:val="nil"/>
              <w:left w:val="nil"/>
              <w:bottom w:val="nil"/>
              <w:right w:val="nil"/>
            </w:tcBorders>
            <w:shd w:val="clear" w:color="auto" w:fill="auto"/>
            <w:noWrap/>
            <w:vAlign w:val="center"/>
            <w:hideMark/>
          </w:tcPr>
          <w:p w14:paraId="0D28E1E7" w14:textId="4E70B8E4" w:rsidR="00FD4C38" w:rsidRPr="000E005D" w:rsidRDefault="00FD4C38" w:rsidP="00FD4C38">
            <w:pPr>
              <w:spacing w:after="120" w:line="240" w:lineRule="auto"/>
              <w:jc w:val="left"/>
            </w:pPr>
            <w:r w:rsidRPr="000E005D">
              <w:t>Test for no degree-day fixed effect</w:t>
            </w:r>
          </w:p>
        </w:tc>
        <w:tc>
          <w:tcPr>
            <w:tcW w:w="1440" w:type="dxa"/>
            <w:tcBorders>
              <w:top w:val="nil"/>
              <w:left w:val="nil"/>
              <w:bottom w:val="nil"/>
              <w:right w:val="nil"/>
            </w:tcBorders>
            <w:shd w:val="clear" w:color="auto" w:fill="auto"/>
            <w:noWrap/>
            <w:vAlign w:val="center"/>
            <w:hideMark/>
          </w:tcPr>
          <w:p w14:paraId="746F0BD8" w14:textId="0C9000AB" w:rsidR="00FD4C38" w:rsidRPr="000E005D" w:rsidRDefault="00FD4C38" w:rsidP="00FD4C38">
            <w:pPr>
              <w:spacing w:after="120" w:line="240" w:lineRule="auto"/>
              <w:jc w:val="left"/>
            </w:pPr>
            <w:r>
              <w:t>72.006***</w:t>
            </w:r>
          </w:p>
        </w:tc>
        <w:tc>
          <w:tcPr>
            <w:tcW w:w="1530" w:type="dxa"/>
            <w:tcBorders>
              <w:top w:val="nil"/>
              <w:left w:val="nil"/>
              <w:bottom w:val="nil"/>
              <w:right w:val="nil"/>
            </w:tcBorders>
            <w:shd w:val="clear" w:color="auto" w:fill="auto"/>
            <w:noWrap/>
            <w:vAlign w:val="center"/>
            <w:hideMark/>
          </w:tcPr>
          <w:p w14:paraId="63264EC2" w14:textId="5460D28A" w:rsidR="00FD4C38" w:rsidRPr="000E005D" w:rsidRDefault="00FD4C38" w:rsidP="00FD4C38">
            <w:pPr>
              <w:spacing w:after="120" w:line="240" w:lineRule="auto"/>
              <w:jc w:val="left"/>
            </w:pPr>
            <w:r>
              <w:t>20.810***</w:t>
            </w:r>
          </w:p>
        </w:tc>
        <w:tc>
          <w:tcPr>
            <w:tcW w:w="1440" w:type="dxa"/>
            <w:tcBorders>
              <w:top w:val="nil"/>
              <w:left w:val="nil"/>
              <w:bottom w:val="nil"/>
              <w:right w:val="nil"/>
            </w:tcBorders>
            <w:shd w:val="clear" w:color="auto" w:fill="auto"/>
            <w:noWrap/>
            <w:vAlign w:val="center"/>
            <w:hideMark/>
          </w:tcPr>
          <w:p w14:paraId="4FA85AE4" w14:textId="5A95A253" w:rsidR="00FD4C38" w:rsidRPr="000E005D" w:rsidRDefault="00FD4C38" w:rsidP="00FD4C38">
            <w:pPr>
              <w:spacing w:after="120" w:line="240" w:lineRule="auto"/>
              <w:jc w:val="left"/>
            </w:pPr>
            <w:r>
              <w:t>45.999***</w:t>
            </w:r>
          </w:p>
        </w:tc>
        <w:tc>
          <w:tcPr>
            <w:tcW w:w="1530" w:type="dxa"/>
            <w:tcBorders>
              <w:top w:val="nil"/>
              <w:left w:val="nil"/>
              <w:bottom w:val="nil"/>
              <w:right w:val="nil"/>
            </w:tcBorders>
            <w:shd w:val="clear" w:color="auto" w:fill="auto"/>
            <w:noWrap/>
            <w:vAlign w:val="center"/>
            <w:hideMark/>
          </w:tcPr>
          <w:p w14:paraId="08B3C4AF" w14:textId="2C56E18A" w:rsidR="00FD4C38" w:rsidRPr="000E005D" w:rsidRDefault="00FD4C38" w:rsidP="00FD4C38">
            <w:pPr>
              <w:spacing w:after="120" w:line="240" w:lineRule="auto"/>
              <w:jc w:val="left"/>
            </w:pPr>
            <w:r>
              <w:t>77.982***</w:t>
            </w:r>
          </w:p>
        </w:tc>
        <w:tc>
          <w:tcPr>
            <w:tcW w:w="1530" w:type="dxa"/>
            <w:tcBorders>
              <w:top w:val="nil"/>
              <w:left w:val="nil"/>
              <w:bottom w:val="nil"/>
              <w:right w:val="nil"/>
            </w:tcBorders>
            <w:shd w:val="clear" w:color="auto" w:fill="auto"/>
            <w:noWrap/>
            <w:vAlign w:val="center"/>
            <w:hideMark/>
          </w:tcPr>
          <w:p w14:paraId="738D179B" w14:textId="41201443" w:rsidR="00FD4C38" w:rsidRPr="000E005D" w:rsidRDefault="00FD4C38" w:rsidP="00FD4C38">
            <w:pPr>
              <w:spacing w:after="120" w:line="240" w:lineRule="auto"/>
              <w:jc w:val="left"/>
            </w:pPr>
            <w:r>
              <w:t>107.827***</w:t>
            </w:r>
          </w:p>
        </w:tc>
        <w:tc>
          <w:tcPr>
            <w:tcW w:w="1440" w:type="dxa"/>
            <w:tcBorders>
              <w:top w:val="nil"/>
              <w:left w:val="nil"/>
              <w:bottom w:val="nil"/>
              <w:right w:val="nil"/>
            </w:tcBorders>
            <w:shd w:val="clear" w:color="auto" w:fill="auto"/>
            <w:noWrap/>
            <w:vAlign w:val="center"/>
            <w:hideMark/>
          </w:tcPr>
          <w:p w14:paraId="06CF91B2" w14:textId="154A1D39" w:rsidR="00FD4C38" w:rsidRPr="000E005D" w:rsidRDefault="00FD4C38" w:rsidP="00FD4C38">
            <w:pPr>
              <w:spacing w:after="120" w:line="240" w:lineRule="auto"/>
              <w:jc w:val="left"/>
            </w:pPr>
            <w:r>
              <w:t>84.303***</w:t>
            </w:r>
          </w:p>
        </w:tc>
      </w:tr>
      <w:tr w:rsidR="00FD4C38" w:rsidRPr="000E005D" w14:paraId="57576165" w14:textId="77777777" w:rsidTr="000E005D">
        <w:trPr>
          <w:trHeight w:val="20"/>
        </w:trPr>
        <w:tc>
          <w:tcPr>
            <w:tcW w:w="3690" w:type="dxa"/>
            <w:tcBorders>
              <w:top w:val="nil"/>
              <w:left w:val="nil"/>
              <w:bottom w:val="nil"/>
              <w:right w:val="nil"/>
            </w:tcBorders>
            <w:shd w:val="clear" w:color="auto" w:fill="auto"/>
            <w:noWrap/>
            <w:vAlign w:val="center"/>
            <w:hideMark/>
          </w:tcPr>
          <w:p w14:paraId="13E88F4F" w14:textId="043EC1A8" w:rsidR="00FD4C38" w:rsidRPr="000E005D" w:rsidRDefault="00FD4C38" w:rsidP="00FD4C38">
            <w:pPr>
              <w:spacing w:after="120" w:line="240" w:lineRule="auto"/>
              <w:jc w:val="left"/>
            </w:pPr>
            <w:r w:rsidRPr="000E005D">
              <w:t>Test for no precipitation effect</w:t>
            </w:r>
          </w:p>
        </w:tc>
        <w:tc>
          <w:tcPr>
            <w:tcW w:w="1440" w:type="dxa"/>
            <w:tcBorders>
              <w:top w:val="nil"/>
              <w:left w:val="nil"/>
              <w:bottom w:val="nil"/>
              <w:right w:val="nil"/>
            </w:tcBorders>
            <w:shd w:val="clear" w:color="auto" w:fill="auto"/>
            <w:noWrap/>
            <w:vAlign w:val="center"/>
            <w:hideMark/>
          </w:tcPr>
          <w:p w14:paraId="5BCE84D1" w14:textId="2AB8C653" w:rsidR="00FD4C38" w:rsidRPr="000E005D" w:rsidRDefault="00FD4C38" w:rsidP="00FD4C38">
            <w:pPr>
              <w:spacing w:after="120" w:line="240" w:lineRule="auto"/>
              <w:jc w:val="left"/>
            </w:pPr>
            <w:r>
              <w:t>54.138***</w:t>
            </w:r>
          </w:p>
        </w:tc>
        <w:tc>
          <w:tcPr>
            <w:tcW w:w="1530" w:type="dxa"/>
            <w:tcBorders>
              <w:top w:val="nil"/>
              <w:left w:val="nil"/>
              <w:bottom w:val="nil"/>
              <w:right w:val="nil"/>
            </w:tcBorders>
            <w:shd w:val="clear" w:color="auto" w:fill="auto"/>
            <w:noWrap/>
            <w:vAlign w:val="center"/>
            <w:hideMark/>
          </w:tcPr>
          <w:p w14:paraId="1CCA2BD5" w14:textId="625D49BF" w:rsidR="00FD4C38" w:rsidRPr="000E005D" w:rsidRDefault="00FD4C38" w:rsidP="00FD4C38">
            <w:pPr>
              <w:spacing w:after="120" w:line="240" w:lineRule="auto"/>
              <w:jc w:val="left"/>
            </w:pPr>
            <w:r>
              <w:t>80.382***</w:t>
            </w:r>
          </w:p>
        </w:tc>
        <w:tc>
          <w:tcPr>
            <w:tcW w:w="1440" w:type="dxa"/>
            <w:tcBorders>
              <w:top w:val="nil"/>
              <w:left w:val="nil"/>
              <w:bottom w:val="nil"/>
              <w:right w:val="nil"/>
            </w:tcBorders>
            <w:shd w:val="clear" w:color="auto" w:fill="auto"/>
            <w:noWrap/>
            <w:vAlign w:val="center"/>
            <w:hideMark/>
          </w:tcPr>
          <w:p w14:paraId="13003F0E" w14:textId="35D4BF7D" w:rsidR="00FD4C38" w:rsidRPr="000E005D" w:rsidRDefault="00FD4C38" w:rsidP="00FD4C38">
            <w:pPr>
              <w:spacing w:after="120" w:line="240" w:lineRule="auto"/>
              <w:jc w:val="left"/>
            </w:pPr>
            <w:r>
              <w:t>71.616***</w:t>
            </w:r>
          </w:p>
        </w:tc>
        <w:tc>
          <w:tcPr>
            <w:tcW w:w="1530" w:type="dxa"/>
            <w:tcBorders>
              <w:top w:val="nil"/>
              <w:left w:val="nil"/>
              <w:bottom w:val="nil"/>
              <w:right w:val="nil"/>
            </w:tcBorders>
            <w:shd w:val="clear" w:color="auto" w:fill="auto"/>
            <w:noWrap/>
            <w:vAlign w:val="center"/>
            <w:hideMark/>
          </w:tcPr>
          <w:p w14:paraId="0B7FCA2A" w14:textId="7A1F736A" w:rsidR="00FD4C38" w:rsidRPr="000E005D" w:rsidRDefault="00FD4C38" w:rsidP="00FD4C38">
            <w:pPr>
              <w:spacing w:after="120" w:line="240" w:lineRule="auto"/>
              <w:jc w:val="left"/>
            </w:pPr>
            <w:r>
              <w:t>41.727***</w:t>
            </w:r>
          </w:p>
        </w:tc>
        <w:tc>
          <w:tcPr>
            <w:tcW w:w="1530" w:type="dxa"/>
            <w:tcBorders>
              <w:top w:val="nil"/>
              <w:left w:val="nil"/>
              <w:bottom w:val="nil"/>
              <w:right w:val="nil"/>
            </w:tcBorders>
            <w:shd w:val="clear" w:color="auto" w:fill="auto"/>
            <w:noWrap/>
            <w:vAlign w:val="center"/>
            <w:hideMark/>
          </w:tcPr>
          <w:p w14:paraId="407B6B13" w14:textId="220D4802" w:rsidR="00FD4C38" w:rsidRPr="000E005D" w:rsidRDefault="00FD4C38" w:rsidP="00FD4C38">
            <w:pPr>
              <w:spacing w:after="120" w:line="240" w:lineRule="auto"/>
              <w:jc w:val="left"/>
            </w:pPr>
            <w:r>
              <w:t>40.678***</w:t>
            </w:r>
          </w:p>
        </w:tc>
        <w:tc>
          <w:tcPr>
            <w:tcW w:w="1440" w:type="dxa"/>
            <w:tcBorders>
              <w:top w:val="nil"/>
              <w:left w:val="nil"/>
              <w:bottom w:val="nil"/>
              <w:right w:val="nil"/>
            </w:tcBorders>
            <w:shd w:val="clear" w:color="auto" w:fill="auto"/>
            <w:noWrap/>
            <w:vAlign w:val="center"/>
            <w:hideMark/>
          </w:tcPr>
          <w:p w14:paraId="59C78C1F" w14:textId="20183C6B" w:rsidR="00FD4C38" w:rsidRPr="000E005D" w:rsidRDefault="00FD4C38" w:rsidP="00FD4C38">
            <w:pPr>
              <w:spacing w:after="120" w:line="240" w:lineRule="auto"/>
              <w:jc w:val="left"/>
            </w:pPr>
            <w:r>
              <w:t>41.956***</w:t>
            </w:r>
          </w:p>
        </w:tc>
      </w:tr>
      <w:tr w:rsidR="00FD4C38" w:rsidRPr="000E005D" w14:paraId="615E66CB" w14:textId="77777777" w:rsidTr="000E005D">
        <w:trPr>
          <w:trHeight w:val="20"/>
        </w:trPr>
        <w:tc>
          <w:tcPr>
            <w:tcW w:w="3690" w:type="dxa"/>
            <w:tcBorders>
              <w:top w:val="nil"/>
              <w:left w:val="nil"/>
              <w:bottom w:val="nil"/>
              <w:right w:val="nil"/>
            </w:tcBorders>
            <w:shd w:val="clear" w:color="auto" w:fill="auto"/>
            <w:noWrap/>
            <w:vAlign w:val="center"/>
            <w:hideMark/>
          </w:tcPr>
          <w:p w14:paraId="4E403B41" w14:textId="6101C98F" w:rsidR="00FD4C38" w:rsidRPr="000E005D" w:rsidRDefault="00FD4C38" w:rsidP="00FD4C38">
            <w:pPr>
              <w:spacing w:after="120" w:line="240" w:lineRule="auto"/>
              <w:jc w:val="left"/>
            </w:pPr>
            <w:r w:rsidRPr="000E005D">
              <w:t>Test for no weather effect</w:t>
            </w:r>
          </w:p>
        </w:tc>
        <w:tc>
          <w:tcPr>
            <w:tcW w:w="1440" w:type="dxa"/>
            <w:tcBorders>
              <w:top w:val="nil"/>
              <w:left w:val="nil"/>
              <w:bottom w:val="nil"/>
              <w:right w:val="nil"/>
            </w:tcBorders>
            <w:shd w:val="clear" w:color="auto" w:fill="auto"/>
            <w:noWrap/>
            <w:vAlign w:val="center"/>
            <w:hideMark/>
          </w:tcPr>
          <w:p w14:paraId="112E051B" w14:textId="150D4143" w:rsidR="00FD4C38" w:rsidRPr="000E005D" w:rsidRDefault="00FD4C38" w:rsidP="00FD4C38">
            <w:pPr>
              <w:spacing w:after="120" w:line="240" w:lineRule="auto"/>
              <w:jc w:val="left"/>
            </w:pPr>
            <w:r>
              <w:t>168.882***</w:t>
            </w:r>
          </w:p>
        </w:tc>
        <w:tc>
          <w:tcPr>
            <w:tcW w:w="1530" w:type="dxa"/>
            <w:tcBorders>
              <w:top w:val="nil"/>
              <w:left w:val="nil"/>
              <w:bottom w:val="nil"/>
              <w:right w:val="nil"/>
            </w:tcBorders>
            <w:shd w:val="clear" w:color="auto" w:fill="auto"/>
            <w:noWrap/>
            <w:vAlign w:val="center"/>
            <w:hideMark/>
          </w:tcPr>
          <w:p w14:paraId="2D86A424" w14:textId="26262475" w:rsidR="00FD4C38" w:rsidRPr="000E005D" w:rsidRDefault="00FD4C38" w:rsidP="00FD4C38">
            <w:pPr>
              <w:spacing w:after="120" w:line="240" w:lineRule="auto"/>
              <w:jc w:val="left"/>
            </w:pPr>
            <w:r>
              <w:t>124.861***</w:t>
            </w:r>
          </w:p>
        </w:tc>
        <w:tc>
          <w:tcPr>
            <w:tcW w:w="1440" w:type="dxa"/>
            <w:tcBorders>
              <w:top w:val="nil"/>
              <w:left w:val="nil"/>
              <w:bottom w:val="nil"/>
              <w:right w:val="nil"/>
            </w:tcBorders>
            <w:shd w:val="clear" w:color="auto" w:fill="auto"/>
            <w:noWrap/>
            <w:vAlign w:val="center"/>
            <w:hideMark/>
          </w:tcPr>
          <w:p w14:paraId="2153CFEC" w14:textId="6B6D56BB" w:rsidR="00FD4C38" w:rsidRPr="000E005D" w:rsidRDefault="00FD4C38" w:rsidP="00FD4C38">
            <w:pPr>
              <w:spacing w:after="120" w:line="240" w:lineRule="auto"/>
              <w:jc w:val="left"/>
            </w:pPr>
            <w:r>
              <w:t>134.582***</w:t>
            </w:r>
          </w:p>
        </w:tc>
        <w:tc>
          <w:tcPr>
            <w:tcW w:w="1530" w:type="dxa"/>
            <w:tcBorders>
              <w:top w:val="nil"/>
              <w:left w:val="nil"/>
              <w:bottom w:val="nil"/>
              <w:right w:val="nil"/>
            </w:tcBorders>
            <w:shd w:val="clear" w:color="auto" w:fill="auto"/>
            <w:noWrap/>
            <w:vAlign w:val="center"/>
            <w:hideMark/>
          </w:tcPr>
          <w:p w14:paraId="275C5838" w14:textId="49C3D504" w:rsidR="00FD4C38" w:rsidRPr="000E005D" w:rsidRDefault="00FD4C38" w:rsidP="00FD4C38">
            <w:pPr>
              <w:spacing w:after="120" w:line="240" w:lineRule="auto"/>
              <w:jc w:val="left"/>
            </w:pPr>
            <w:r>
              <w:t>168.651***</w:t>
            </w:r>
          </w:p>
        </w:tc>
        <w:tc>
          <w:tcPr>
            <w:tcW w:w="1530" w:type="dxa"/>
            <w:tcBorders>
              <w:top w:val="nil"/>
              <w:left w:val="nil"/>
              <w:bottom w:val="nil"/>
              <w:right w:val="nil"/>
            </w:tcBorders>
            <w:shd w:val="clear" w:color="auto" w:fill="auto"/>
            <w:noWrap/>
            <w:vAlign w:val="center"/>
            <w:hideMark/>
          </w:tcPr>
          <w:p w14:paraId="1CB11AC3" w14:textId="579A3838" w:rsidR="00FD4C38" w:rsidRPr="000E005D" w:rsidRDefault="00FD4C38" w:rsidP="00FD4C38">
            <w:pPr>
              <w:spacing w:after="120" w:line="240" w:lineRule="auto"/>
              <w:jc w:val="left"/>
            </w:pPr>
            <w:r>
              <w:t>245.096***</w:t>
            </w:r>
          </w:p>
        </w:tc>
        <w:tc>
          <w:tcPr>
            <w:tcW w:w="1440" w:type="dxa"/>
            <w:tcBorders>
              <w:top w:val="nil"/>
              <w:left w:val="nil"/>
              <w:bottom w:val="nil"/>
              <w:right w:val="nil"/>
            </w:tcBorders>
            <w:shd w:val="clear" w:color="auto" w:fill="auto"/>
            <w:noWrap/>
            <w:vAlign w:val="center"/>
            <w:hideMark/>
          </w:tcPr>
          <w:p w14:paraId="515C6A14" w14:textId="06B200A0" w:rsidR="00FD4C38" w:rsidRPr="000E005D" w:rsidRDefault="00FD4C38" w:rsidP="00FD4C38">
            <w:pPr>
              <w:spacing w:after="120" w:line="240" w:lineRule="auto"/>
              <w:jc w:val="left"/>
            </w:pPr>
            <w:r>
              <w:t>148.274***</w:t>
            </w:r>
          </w:p>
        </w:tc>
      </w:tr>
      <w:tr w:rsidR="00FD4C38" w:rsidRPr="000E005D" w14:paraId="59A623C5" w14:textId="77777777" w:rsidTr="000E005D">
        <w:trPr>
          <w:trHeight w:val="20"/>
        </w:trPr>
        <w:tc>
          <w:tcPr>
            <w:tcW w:w="3690" w:type="dxa"/>
            <w:tcBorders>
              <w:top w:val="nil"/>
              <w:left w:val="nil"/>
              <w:bottom w:val="single" w:sz="4" w:space="0" w:color="auto"/>
              <w:right w:val="nil"/>
            </w:tcBorders>
            <w:shd w:val="clear" w:color="auto" w:fill="auto"/>
            <w:noWrap/>
            <w:vAlign w:val="center"/>
            <w:hideMark/>
          </w:tcPr>
          <w:p w14:paraId="7D9A584D" w14:textId="1FA5E518" w:rsidR="00FD4C38" w:rsidRPr="000E005D" w:rsidRDefault="00FD4C38" w:rsidP="00FD4C38">
            <w:pPr>
              <w:spacing w:after="120" w:line="240" w:lineRule="auto"/>
              <w:jc w:val="left"/>
            </w:pPr>
            <w:r w:rsidRPr="000E005D">
              <w:t xml:space="preserve">Test for no county fixed effect </w:t>
            </w:r>
          </w:p>
        </w:tc>
        <w:tc>
          <w:tcPr>
            <w:tcW w:w="1440" w:type="dxa"/>
            <w:tcBorders>
              <w:top w:val="nil"/>
              <w:left w:val="nil"/>
              <w:bottom w:val="single" w:sz="4" w:space="0" w:color="auto"/>
              <w:right w:val="nil"/>
            </w:tcBorders>
            <w:shd w:val="clear" w:color="auto" w:fill="auto"/>
            <w:noWrap/>
            <w:vAlign w:val="center"/>
            <w:hideMark/>
          </w:tcPr>
          <w:p w14:paraId="253A8B05" w14:textId="16902B7B" w:rsidR="00FD4C38" w:rsidRPr="000E005D" w:rsidRDefault="00FD4C38" w:rsidP="00FD4C38">
            <w:pPr>
              <w:spacing w:after="120" w:line="240" w:lineRule="auto"/>
              <w:jc w:val="left"/>
            </w:pPr>
            <w:r>
              <w:t>560.601***</w:t>
            </w:r>
          </w:p>
        </w:tc>
        <w:tc>
          <w:tcPr>
            <w:tcW w:w="1530" w:type="dxa"/>
            <w:tcBorders>
              <w:top w:val="nil"/>
              <w:left w:val="nil"/>
              <w:bottom w:val="single" w:sz="4" w:space="0" w:color="auto"/>
              <w:right w:val="nil"/>
            </w:tcBorders>
            <w:shd w:val="clear" w:color="auto" w:fill="auto"/>
            <w:noWrap/>
            <w:vAlign w:val="center"/>
            <w:hideMark/>
          </w:tcPr>
          <w:p w14:paraId="51F3FAD5" w14:textId="50E90D5C" w:rsidR="00FD4C38" w:rsidRPr="000E005D" w:rsidRDefault="00FD4C38" w:rsidP="00FD4C38">
            <w:pPr>
              <w:spacing w:after="120" w:line="240" w:lineRule="auto"/>
              <w:jc w:val="left"/>
            </w:pPr>
            <w:r>
              <w:t>542.952***</w:t>
            </w:r>
          </w:p>
        </w:tc>
        <w:tc>
          <w:tcPr>
            <w:tcW w:w="1440" w:type="dxa"/>
            <w:tcBorders>
              <w:top w:val="nil"/>
              <w:left w:val="nil"/>
              <w:bottom w:val="single" w:sz="4" w:space="0" w:color="auto"/>
              <w:right w:val="nil"/>
            </w:tcBorders>
            <w:shd w:val="clear" w:color="auto" w:fill="auto"/>
            <w:noWrap/>
            <w:vAlign w:val="center"/>
            <w:hideMark/>
          </w:tcPr>
          <w:p w14:paraId="17EAAA2D" w14:textId="2F931323" w:rsidR="00FD4C38" w:rsidRPr="000E005D" w:rsidRDefault="00FD4C38" w:rsidP="00FD4C38">
            <w:pPr>
              <w:spacing w:after="120" w:line="240" w:lineRule="auto"/>
              <w:jc w:val="left"/>
            </w:pPr>
            <w:r>
              <w:t>562.374***</w:t>
            </w:r>
          </w:p>
        </w:tc>
        <w:tc>
          <w:tcPr>
            <w:tcW w:w="1530" w:type="dxa"/>
            <w:tcBorders>
              <w:top w:val="nil"/>
              <w:left w:val="nil"/>
              <w:bottom w:val="single" w:sz="4" w:space="0" w:color="auto"/>
              <w:right w:val="nil"/>
            </w:tcBorders>
            <w:shd w:val="clear" w:color="auto" w:fill="auto"/>
            <w:noWrap/>
            <w:vAlign w:val="center"/>
            <w:hideMark/>
          </w:tcPr>
          <w:p w14:paraId="208F504C" w14:textId="38536F79" w:rsidR="00FD4C38" w:rsidRPr="000E005D" w:rsidRDefault="00FD4C38" w:rsidP="00FD4C38">
            <w:pPr>
              <w:spacing w:after="120" w:line="240" w:lineRule="auto"/>
              <w:jc w:val="left"/>
            </w:pPr>
            <w:r>
              <w:t>547.835***</w:t>
            </w:r>
          </w:p>
        </w:tc>
        <w:tc>
          <w:tcPr>
            <w:tcW w:w="1530" w:type="dxa"/>
            <w:tcBorders>
              <w:top w:val="nil"/>
              <w:left w:val="nil"/>
              <w:bottom w:val="single" w:sz="4" w:space="0" w:color="auto"/>
              <w:right w:val="nil"/>
            </w:tcBorders>
            <w:shd w:val="clear" w:color="auto" w:fill="auto"/>
            <w:noWrap/>
            <w:vAlign w:val="center"/>
            <w:hideMark/>
          </w:tcPr>
          <w:p w14:paraId="3508462E" w14:textId="2F6C1914" w:rsidR="00FD4C38" w:rsidRPr="000E005D" w:rsidRDefault="00FD4C38" w:rsidP="00FD4C38">
            <w:pPr>
              <w:spacing w:after="120" w:line="240" w:lineRule="auto"/>
              <w:jc w:val="left"/>
            </w:pPr>
            <w:r>
              <w:t>543.017***</w:t>
            </w:r>
          </w:p>
        </w:tc>
        <w:tc>
          <w:tcPr>
            <w:tcW w:w="1440" w:type="dxa"/>
            <w:tcBorders>
              <w:top w:val="nil"/>
              <w:left w:val="nil"/>
              <w:bottom w:val="single" w:sz="4" w:space="0" w:color="auto"/>
              <w:right w:val="nil"/>
            </w:tcBorders>
            <w:shd w:val="clear" w:color="auto" w:fill="auto"/>
            <w:noWrap/>
            <w:vAlign w:val="center"/>
            <w:hideMark/>
          </w:tcPr>
          <w:p w14:paraId="197932FF" w14:textId="7B465483" w:rsidR="00FD4C38" w:rsidRPr="000E005D" w:rsidRDefault="00FD4C38" w:rsidP="00FD4C38">
            <w:pPr>
              <w:spacing w:after="120" w:line="240" w:lineRule="auto"/>
              <w:jc w:val="left"/>
            </w:pPr>
            <w:r>
              <w:t>534.419***</w:t>
            </w:r>
          </w:p>
        </w:tc>
      </w:tr>
    </w:tbl>
    <w:p w14:paraId="14E8C07B" w14:textId="77777777" w:rsidR="00A53F6F" w:rsidRPr="000E005D" w:rsidRDefault="00AA026F" w:rsidP="00E522AD">
      <w:pPr>
        <w:spacing w:before="120" w:after="0" w:line="240" w:lineRule="auto"/>
      </w:pPr>
      <w:r w:rsidRPr="000E005D">
        <w:t xml:space="preserve">The preferred model is ††. </w:t>
      </w:r>
      <w:r w:rsidR="00F53B92" w:rsidRPr="000E005D">
        <w:t>Significance levels: * p&lt;0.10, ** p&lt;0.05, ***p&lt;0.01</w:t>
      </w:r>
      <w:r w:rsidR="00E522AD" w:rsidRPr="000E005D">
        <w:t xml:space="preserve">. </w:t>
      </w:r>
      <w:r w:rsidR="00264852" w:rsidRPr="000E005D">
        <w:t>Standard errors are in parentheses and clustered at year level.</w:t>
      </w:r>
    </w:p>
    <w:p w14:paraId="15576BC9" w14:textId="77777777" w:rsidR="00366226" w:rsidRDefault="00366226" w:rsidP="00E522AD">
      <w:pPr>
        <w:spacing w:before="120" w:after="0" w:line="240" w:lineRule="auto"/>
        <w:rPr>
          <w:sz w:val="22"/>
          <w:szCs w:val="22"/>
        </w:rPr>
      </w:pPr>
    </w:p>
    <w:p w14:paraId="0B7CD5E2" w14:textId="77777777" w:rsidR="00366226" w:rsidRDefault="00366226" w:rsidP="00E522AD">
      <w:pPr>
        <w:spacing w:before="120" w:after="0" w:line="240" w:lineRule="auto"/>
        <w:rPr>
          <w:sz w:val="22"/>
          <w:szCs w:val="22"/>
        </w:rPr>
        <w:sectPr w:rsidR="00366226" w:rsidSect="0069270C">
          <w:pgSz w:w="15840" w:h="12240" w:orient="landscape"/>
          <w:pgMar w:top="1440" w:right="1440" w:bottom="1440" w:left="1440" w:header="720" w:footer="720" w:gutter="0"/>
          <w:cols w:space="720"/>
          <w:docGrid w:linePitch="360"/>
        </w:sectPr>
      </w:pPr>
    </w:p>
    <w:p w14:paraId="4281CF55" w14:textId="114AB002" w:rsidR="00A53F6F" w:rsidRDefault="00A53F6F" w:rsidP="00E408A0">
      <w:pPr>
        <w:pStyle w:val="Heading4"/>
        <w:rPr>
          <w:noProof/>
        </w:rPr>
      </w:pPr>
      <w:r w:rsidRPr="00C47481">
        <w:rPr>
          <w:noProof/>
        </w:rPr>
        <w:lastRenderedPageBreak/>
        <w:t xml:space="preserve">Figure </w:t>
      </w:r>
      <w:r>
        <w:rPr>
          <w:noProof/>
        </w:rPr>
        <w:t>1</w:t>
      </w:r>
      <w:r w:rsidRPr="00C47481">
        <w:rPr>
          <w:noProof/>
        </w:rPr>
        <w:t xml:space="preserve">. Distribution of </w:t>
      </w:r>
      <w:r>
        <w:rPr>
          <w:noProof/>
        </w:rPr>
        <w:t>Regression Variables</w:t>
      </w:r>
    </w:p>
    <w:p w14:paraId="37DF8F3B" w14:textId="4E5AB73E" w:rsidR="00A53F6F" w:rsidRDefault="00DA18FB" w:rsidP="00E408A0">
      <w:r>
        <w:rPr>
          <w:noProof/>
        </w:rPr>
        <w:drawing>
          <wp:inline distT="0" distB="0" distL="0" distR="0" wp14:anchorId="0934B46C" wp14:editId="2A5B5075">
            <wp:extent cx="5943600" cy="7453223"/>
            <wp:effectExtent l="0" t="0" r="0" b="0"/>
            <wp:docPr id="116224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7108" name="Picture 1162247108"/>
                    <pic:cNvPicPr/>
                  </pic:nvPicPr>
                  <pic:blipFill rotWithShape="1">
                    <a:blip r:embed="rId17" cstate="print">
                      <a:extLst>
                        <a:ext uri="{28A0092B-C50C-407E-A947-70E740481C1C}">
                          <a14:useLocalDpi xmlns:a14="http://schemas.microsoft.com/office/drawing/2010/main" val="0"/>
                        </a:ext>
                      </a:extLst>
                    </a:blip>
                    <a:srcRect b="8801"/>
                    <a:stretch/>
                  </pic:blipFill>
                  <pic:spPr bwMode="auto">
                    <a:xfrm>
                      <a:off x="0" y="0"/>
                      <a:ext cx="5943600" cy="7453223"/>
                    </a:xfrm>
                    <a:prstGeom prst="rect">
                      <a:avLst/>
                    </a:prstGeom>
                    <a:ln>
                      <a:noFill/>
                    </a:ln>
                    <a:extLst>
                      <a:ext uri="{53640926-AAD7-44D8-BBD7-CCE9431645EC}">
                        <a14:shadowObscured xmlns:a14="http://schemas.microsoft.com/office/drawing/2010/main"/>
                      </a:ext>
                    </a:extLst>
                  </pic:spPr>
                </pic:pic>
              </a:graphicData>
            </a:graphic>
          </wp:inline>
        </w:drawing>
      </w:r>
    </w:p>
    <w:p w14:paraId="4CAB36BD" w14:textId="2F6312AD" w:rsidR="00A53F6F" w:rsidRDefault="00A53F6F" w:rsidP="00E408A0">
      <w:pPr>
        <w:sectPr w:rsidR="00A53F6F" w:rsidSect="00A53F6F">
          <w:pgSz w:w="12240" w:h="15840"/>
          <w:pgMar w:top="1440" w:right="1440" w:bottom="1440" w:left="1440" w:header="720" w:footer="720" w:gutter="0"/>
          <w:cols w:space="720"/>
          <w:docGrid w:linePitch="360"/>
        </w:sectPr>
      </w:pPr>
    </w:p>
    <w:p w14:paraId="12CC23FD" w14:textId="545644B1" w:rsidR="009537D7" w:rsidRPr="00C47481" w:rsidRDefault="009537D7" w:rsidP="00E408A0">
      <w:pPr>
        <w:pStyle w:val="Heading4"/>
        <w:rPr>
          <w:noProof/>
        </w:rPr>
      </w:pPr>
      <w:r w:rsidRPr="00C47481">
        <w:rPr>
          <w:noProof/>
        </w:rPr>
        <w:lastRenderedPageBreak/>
        <w:t xml:space="preserve">Figure </w:t>
      </w:r>
      <w:r w:rsidR="00CC12C4">
        <w:rPr>
          <w:noProof/>
        </w:rPr>
        <w:t>2</w:t>
      </w:r>
      <w:r w:rsidRPr="00C47481">
        <w:rPr>
          <w:noProof/>
        </w:rPr>
        <w:t xml:space="preserve">. Alfalfa </w:t>
      </w:r>
      <w:r w:rsidR="00243300" w:rsidRPr="00C47481">
        <w:rPr>
          <w:noProof/>
        </w:rPr>
        <w:t>a</w:t>
      </w:r>
      <w:r w:rsidR="00FC1422" w:rsidRPr="00C47481">
        <w:rPr>
          <w:noProof/>
        </w:rPr>
        <w:t xml:space="preserve">nd Cattle Producing Areas </w:t>
      </w:r>
      <w:r w:rsidR="00243300" w:rsidRPr="00C47481">
        <w:rPr>
          <w:noProof/>
        </w:rPr>
        <w:t>i</w:t>
      </w:r>
      <w:r w:rsidR="00FC1422" w:rsidRPr="00C47481">
        <w:rPr>
          <w:noProof/>
        </w:rPr>
        <w:t xml:space="preserve">n </w:t>
      </w:r>
      <w:r w:rsidR="00243300" w:rsidRPr="00C47481">
        <w:rPr>
          <w:noProof/>
        </w:rPr>
        <w:t>t</w:t>
      </w:r>
      <w:r w:rsidR="00FC1422" w:rsidRPr="00C47481">
        <w:rPr>
          <w:noProof/>
        </w:rPr>
        <w:t xml:space="preserve">he </w:t>
      </w:r>
      <w:r w:rsidRPr="00C47481">
        <w:rPr>
          <w:noProof/>
        </w:rPr>
        <w:t>U</w:t>
      </w:r>
      <w:r w:rsidR="00243300" w:rsidRPr="00C47481">
        <w:rPr>
          <w:noProof/>
        </w:rPr>
        <w:t>.</w:t>
      </w:r>
      <w:r w:rsidRPr="00C47481">
        <w:rPr>
          <w:noProof/>
        </w:rPr>
        <w:t>S</w:t>
      </w:r>
      <w:r w:rsidR="00243300" w:rsidRPr="00C47481">
        <w:rPr>
          <w:noProof/>
        </w:rPr>
        <w:t>.</w:t>
      </w:r>
      <w:r w:rsidRPr="00C47481">
        <w:rPr>
          <w:noProof/>
        </w:rPr>
        <w:t xml:space="preserve"> </w:t>
      </w:r>
      <w:r w:rsidR="00293566" w:rsidRPr="00C47481">
        <w:rPr>
          <w:noProof/>
        </w:rPr>
        <w:t>(</w:t>
      </w:r>
      <w:r w:rsidR="001F5D11">
        <w:rPr>
          <w:noProof/>
        </w:rPr>
        <w:t>2002</w:t>
      </w:r>
      <w:r w:rsidR="00293566" w:rsidRPr="00C47481">
        <w:rPr>
          <w:noProof/>
        </w:rPr>
        <w:t>-</w:t>
      </w:r>
      <w:r w:rsidR="00F8001F">
        <w:rPr>
          <w:noProof/>
        </w:rPr>
        <w:t>2022</w:t>
      </w:r>
      <w:r w:rsidR="00293566" w:rsidRPr="00C47481">
        <w:rPr>
          <w:noProof/>
        </w:rPr>
        <w:t>)</w:t>
      </w:r>
    </w:p>
    <w:p w14:paraId="392E6F36" w14:textId="06EC72D9" w:rsidR="00EA4352" w:rsidRPr="00C47481" w:rsidRDefault="00DA18FB" w:rsidP="00E408A0">
      <w:pPr>
        <w:rPr>
          <w:noProof/>
        </w:rPr>
      </w:pPr>
      <w:r>
        <w:rPr>
          <w:noProof/>
        </w:rPr>
        <w:drawing>
          <wp:inline distT="0" distB="0" distL="0" distR="0" wp14:anchorId="37FEA275" wp14:editId="23C72821">
            <wp:extent cx="8229600" cy="5451894"/>
            <wp:effectExtent l="0" t="0" r="0" b="0"/>
            <wp:docPr id="1346174853" name="Picture 2" descr="Timelin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4853" name="Picture 2" descr="Timeline, map&#10;&#10;Description automatically generated"/>
                    <pic:cNvPicPr/>
                  </pic:nvPicPr>
                  <pic:blipFill rotWithShape="1">
                    <a:blip r:embed="rId18" cstate="print">
                      <a:extLst>
                        <a:ext uri="{28A0092B-C50C-407E-A947-70E740481C1C}">
                          <a14:useLocalDpi xmlns:a14="http://schemas.microsoft.com/office/drawing/2010/main" val="0"/>
                        </a:ext>
                      </a:extLst>
                    </a:blip>
                    <a:srcRect b="5361"/>
                    <a:stretch/>
                  </pic:blipFill>
                  <pic:spPr bwMode="auto">
                    <a:xfrm>
                      <a:off x="0" y="0"/>
                      <a:ext cx="8229600" cy="5451894"/>
                    </a:xfrm>
                    <a:prstGeom prst="rect">
                      <a:avLst/>
                    </a:prstGeom>
                    <a:ln>
                      <a:noFill/>
                    </a:ln>
                    <a:extLst>
                      <a:ext uri="{53640926-AAD7-44D8-BBD7-CCE9431645EC}">
                        <a14:shadowObscured xmlns:a14="http://schemas.microsoft.com/office/drawing/2010/main"/>
                      </a:ext>
                    </a:extLst>
                  </pic:spPr>
                </pic:pic>
              </a:graphicData>
            </a:graphic>
          </wp:inline>
        </w:drawing>
      </w:r>
    </w:p>
    <w:p w14:paraId="3F958433" w14:textId="77777777" w:rsidR="00506409" w:rsidRPr="00C47481" w:rsidRDefault="00506409" w:rsidP="00E408A0">
      <w:pPr>
        <w:rPr>
          <w:noProof/>
        </w:rPr>
        <w:sectPr w:rsidR="00506409" w:rsidRPr="00C47481" w:rsidSect="00CC3AB9">
          <w:pgSz w:w="15840" w:h="12240" w:orient="landscape"/>
          <w:pgMar w:top="1440" w:right="1440" w:bottom="1440" w:left="1440" w:header="720" w:footer="720" w:gutter="0"/>
          <w:cols w:space="720"/>
          <w:docGrid w:linePitch="360"/>
        </w:sectPr>
      </w:pPr>
    </w:p>
    <w:p w14:paraId="5D4381FA" w14:textId="1A4DA536" w:rsidR="008B4474" w:rsidRDefault="008B4474" w:rsidP="00E408A0">
      <w:pPr>
        <w:pStyle w:val="Heading4"/>
        <w:rPr>
          <w:noProof/>
        </w:rPr>
      </w:pPr>
      <w:r w:rsidRPr="00C47481">
        <w:rPr>
          <w:noProof/>
        </w:rPr>
        <w:lastRenderedPageBreak/>
        <w:t xml:space="preserve">Figure </w:t>
      </w:r>
      <w:r w:rsidR="000B7013">
        <w:rPr>
          <w:noProof/>
        </w:rPr>
        <w:t>3</w:t>
      </w:r>
      <w:r w:rsidRPr="00C47481">
        <w:rPr>
          <w:noProof/>
        </w:rPr>
        <w:t xml:space="preserve">. </w:t>
      </w:r>
      <w:r w:rsidR="0016507A" w:rsidRPr="00C47481">
        <w:rPr>
          <w:noProof/>
        </w:rPr>
        <w:t>Alfalfa</w:t>
      </w:r>
      <w:r w:rsidR="0016507A">
        <w:rPr>
          <w:noProof/>
        </w:rPr>
        <w:t xml:space="preserve"> </w:t>
      </w:r>
      <w:r w:rsidR="0032053B">
        <w:rPr>
          <w:noProof/>
        </w:rPr>
        <w:t>a</w:t>
      </w:r>
      <w:r w:rsidR="0016507A">
        <w:rPr>
          <w:noProof/>
        </w:rPr>
        <w:t xml:space="preserve">vailability </w:t>
      </w:r>
      <w:r w:rsidR="0032053B">
        <w:rPr>
          <w:noProof/>
        </w:rPr>
        <w:t>and its association with cattle inventories</w:t>
      </w:r>
    </w:p>
    <w:p w14:paraId="591E4500" w14:textId="609A5466" w:rsidR="00425C1C" w:rsidRDefault="00DA18FB" w:rsidP="00E408A0">
      <w:r>
        <w:rPr>
          <w:noProof/>
        </w:rPr>
        <w:drawing>
          <wp:inline distT="0" distB="0" distL="0" distR="0" wp14:anchorId="21D85868" wp14:editId="47690A91">
            <wp:extent cx="5421753" cy="7223760"/>
            <wp:effectExtent l="0" t="0" r="7620" b="0"/>
            <wp:docPr id="284709421"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9421" name="Picture 3" descr="Map&#10;&#10;Description automatically generated"/>
                    <pic:cNvPicPr/>
                  </pic:nvPicPr>
                  <pic:blipFill rotWithShape="1">
                    <a:blip r:embed="rId19" cstate="print">
                      <a:extLst>
                        <a:ext uri="{28A0092B-C50C-407E-A947-70E740481C1C}">
                          <a14:useLocalDpi xmlns:a14="http://schemas.microsoft.com/office/drawing/2010/main" val="0"/>
                        </a:ext>
                      </a:extLst>
                    </a:blip>
                    <a:srcRect b="3774"/>
                    <a:stretch/>
                  </pic:blipFill>
                  <pic:spPr bwMode="auto">
                    <a:xfrm>
                      <a:off x="0" y="0"/>
                      <a:ext cx="5421753" cy="7223760"/>
                    </a:xfrm>
                    <a:prstGeom prst="rect">
                      <a:avLst/>
                    </a:prstGeom>
                    <a:ln>
                      <a:noFill/>
                    </a:ln>
                    <a:extLst>
                      <a:ext uri="{53640926-AAD7-44D8-BBD7-CCE9431645EC}">
                        <a14:shadowObscured xmlns:a14="http://schemas.microsoft.com/office/drawing/2010/main"/>
                      </a:ext>
                    </a:extLst>
                  </pic:spPr>
                </pic:pic>
              </a:graphicData>
            </a:graphic>
          </wp:inline>
        </w:drawing>
      </w:r>
    </w:p>
    <w:p w14:paraId="4C8DE183" w14:textId="77777777" w:rsidR="00425C1C" w:rsidRDefault="00425C1C" w:rsidP="00E408A0">
      <w:pPr>
        <w:sectPr w:rsidR="00425C1C" w:rsidSect="0038668F">
          <w:pgSz w:w="12240" w:h="15840"/>
          <w:pgMar w:top="1440" w:right="1440" w:bottom="1440" w:left="1440" w:header="720" w:footer="720" w:gutter="0"/>
          <w:cols w:space="720"/>
          <w:docGrid w:linePitch="360"/>
        </w:sectPr>
      </w:pPr>
    </w:p>
    <w:p w14:paraId="6A2BA90C" w14:textId="5A8D57DE" w:rsidR="009537D7" w:rsidRPr="00C47481" w:rsidRDefault="009537D7" w:rsidP="00E408A0">
      <w:pPr>
        <w:pStyle w:val="Heading4"/>
      </w:pPr>
      <w:r w:rsidRPr="00C47481">
        <w:lastRenderedPageBreak/>
        <w:t xml:space="preserve">Figure </w:t>
      </w:r>
      <w:r w:rsidR="00EF5681">
        <w:t>4</w:t>
      </w:r>
      <w:r w:rsidRPr="00C47481">
        <w:t>. Nonlinear Relation Between Temperature and U</w:t>
      </w:r>
      <w:r w:rsidR="00243300" w:rsidRPr="00C47481">
        <w:t>.</w:t>
      </w:r>
      <w:r w:rsidRPr="00C47481">
        <w:t>S</w:t>
      </w:r>
      <w:r w:rsidR="00243300" w:rsidRPr="00C47481">
        <w:t>.</w:t>
      </w:r>
      <w:r w:rsidRPr="00C47481">
        <w:t xml:space="preserve"> Alfalfa Yields (1951-</w:t>
      </w:r>
      <w:r w:rsidR="00DA13D5">
        <w:t>2022</w:t>
      </w:r>
      <w:r w:rsidRPr="00C47481">
        <w:t>)</w:t>
      </w:r>
    </w:p>
    <w:p w14:paraId="28011BAF" w14:textId="1A13094B" w:rsidR="009537D7" w:rsidRPr="00C47481" w:rsidRDefault="00DA18FB" w:rsidP="00E408A0">
      <w:r>
        <w:rPr>
          <w:noProof/>
        </w:rPr>
        <w:drawing>
          <wp:inline distT="0" distB="0" distL="0" distR="0" wp14:anchorId="67583A37" wp14:editId="452C1687">
            <wp:extent cx="5486411" cy="6400813"/>
            <wp:effectExtent l="0" t="0" r="0" b="0"/>
            <wp:docPr id="786639677"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9677" name="Picture 4" descr="Chart, hist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4BEC6D28" w14:textId="50F3479A" w:rsidR="00212DBD" w:rsidRPr="00C47481" w:rsidRDefault="00212DBD" w:rsidP="00E408A0"/>
    <w:p w14:paraId="5C8B9205" w14:textId="77777777" w:rsidR="00326C13" w:rsidRDefault="00326C13" w:rsidP="00E408A0">
      <w:pPr>
        <w:sectPr w:rsidR="00326C13" w:rsidSect="00EA30C9">
          <w:pgSz w:w="12240" w:h="15840"/>
          <w:pgMar w:top="1440" w:right="1440" w:bottom="1440" w:left="1440" w:header="720" w:footer="720" w:gutter="0"/>
          <w:cols w:space="720"/>
          <w:docGrid w:linePitch="360"/>
        </w:sectPr>
      </w:pPr>
    </w:p>
    <w:p w14:paraId="1ABB2D08" w14:textId="7DE016DE" w:rsidR="009537D7" w:rsidRPr="00C47481" w:rsidRDefault="009537D7" w:rsidP="00E408A0">
      <w:pPr>
        <w:pStyle w:val="Heading4"/>
      </w:pPr>
      <w:r w:rsidRPr="00C47481">
        <w:lastRenderedPageBreak/>
        <w:t xml:space="preserve">Figure </w:t>
      </w:r>
      <w:r w:rsidR="00EF5681">
        <w:t>5</w:t>
      </w:r>
      <w:r w:rsidRPr="00C47481">
        <w:t xml:space="preserve">. Predicted Impacts </w:t>
      </w:r>
    </w:p>
    <w:p w14:paraId="19BB46A7" w14:textId="608737E5" w:rsidR="009537D7" w:rsidRDefault="00DA18FB" w:rsidP="00E408A0">
      <w:r>
        <w:rPr>
          <w:noProof/>
        </w:rPr>
        <w:drawing>
          <wp:inline distT="0" distB="0" distL="0" distR="0" wp14:anchorId="3E783A56" wp14:editId="67A52292">
            <wp:extent cx="5770880" cy="4632385"/>
            <wp:effectExtent l="0" t="0" r="1270" b="0"/>
            <wp:docPr id="80313936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9366" name="Picture 6" descr="A picture containing table&#10;&#10;Description automatically generated"/>
                    <pic:cNvPicPr/>
                  </pic:nvPicPr>
                  <pic:blipFill rotWithShape="1">
                    <a:blip r:embed="rId21" cstate="print">
                      <a:extLst>
                        <a:ext uri="{28A0092B-C50C-407E-A947-70E740481C1C}">
                          <a14:useLocalDpi xmlns:a14="http://schemas.microsoft.com/office/drawing/2010/main" val="0"/>
                        </a:ext>
                      </a:extLst>
                    </a:blip>
                    <a:srcRect l="2903" t="5757" b="3313"/>
                    <a:stretch/>
                  </pic:blipFill>
                  <pic:spPr bwMode="auto">
                    <a:xfrm>
                      <a:off x="0" y="0"/>
                      <a:ext cx="5771070" cy="4632538"/>
                    </a:xfrm>
                    <a:prstGeom prst="rect">
                      <a:avLst/>
                    </a:prstGeom>
                    <a:ln>
                      <a:noFill/>
                    </a:ln>
                    <a:extLst>
                      <a:ext uri="{53640926-AAD7-44D8-BBD7-CCE9431645EC}">
                        <a14:shadowObscured xmlns:a14="http://schemas.microsoft.com/office/drawing/2010/main"/>
                      </a:ext>
                    </a:extLst>
                  </pic:spPr>
                </pic:pic>
              </a:graphicData>
            </a:graphic>
          </wp:inline>
        </w:drawing>
      </w:r>
    </w:p>
    <w:p w14:paraId="666DB71A" w14:textId="77777777" w:rsidR="00DA18FB" w:rsidRDefault="00DA18FB" w:rsidP="00E408A0"/>
    <w:p w14:paraId="63D4DC86" w14:textId="77777777" w:rsidR="00DA18FB" w:rsidRPr="00C47481" w:rsidRDefault="00DA18FB" w:rsidP="00E408A0"/>
    <w:p w14:paraId="07AB1DE0" w14:textId="781CE72E" w:rsidR="0032053B" w:rsidRDefault="0032053B" w:rsidP="00E408A0">
      <w:pPr>
        <w:sectPr w:rsidR="0032053B" w:rsidSect="00DA18FB">
          <w:pgSz w:w="12240" w:h="15840"/>
          <w:pgMar w:top="1440" w:right="1440" w:bottom="1440" w:left="1440" w:header="720" w:footer="720" w:gutter="0"/>
          <w:cols w:space="720"/>
          <w:docGrid w:linePitch="360"/>
        </w:sectPr>
      </w:pPr>
    </w:p>
    <w:p w14:paraId="352206B9" w14:textId="5D0E04EE" w:rsidR="00E51263" w:rsidRDefault="00E51263" w:rsidP="00E408A0">
      <w:pPr>
        <w:pStyle w:val="Heading4"/>
      </w:pPr>
      <w:r w:rsidRPr="00EE489D">
        <w:lastRenderedPageBreak/>
        <w:t xml:space="preserve">Figure </w:t>
      </w:r>
      <w:r w:rsidR="00EF5681" w:rsidRPr="00EE489D">
        <w:t>6</w:t>
      </w:r>
      <w:r w:rsidRPr="00EE489D">
        <w:t xml:space="preserve">. Predicted </w:t>
      </w:r>
      <w:r w:rsidR="001D4609" w:rsidRPr="00EE489D">
        <w:t xml:space="preserve">County Level </w:t>
      </w:r>
      <w:r w:rsidRPr="00EE489D">
        <w:t>Impacts</w:t>
      </w:r>
    </w:p>
    <w:p w14:paraId="33E73584" w14:textId="0B17E80B" w:rsidR="000E5141" w:rsidRDefault="00D83996" w:rsidP="00E408A0">
      <w:r>
        <w:rPr>
          <w:noProof/>
        </w:rPr>
        <w:drawing>
          <wp:inline distT="0" distB="0" distL="0" distR="0" wp14:anchorId="2F2D9842" wp14:editId="21D54F65">
            <wp:extent cx="7049384" cy="4663440"/>
            <wp:effectExtent l="0" t="0" r="0" b="3810"/>
            <wp:docPr id="877168900"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8900" name="Picture 7" descr="Graphical user interfac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49384" cy="4663440"/>
                    </a:xfrm>
                    <a:prstGeom prst="rect">
                      <a:avLst/>
                    </a:prstGeom>
                  </pic:spPr>
                </pic:pic>
              </a:graphicData>
            </a:graphic>
          </wp:inline>
        </w:drawing>
      </w:r>
    </w:p>
    <w:p w14:paraId="6AB8FC3C" w14:textId="77777777" w:rsidR="00EF5681" w:rsidRDefault="00EF5681" w:rsidP="00E408A0"/>
    <w:p w14:paraId="12FA425D" w14:textId="77777777" w:rsidR="00EE489D" w:rsidRDefault="00EE489D" w:rsidP="00E408A0"/>
    <w:p w14:paraId="038DDF75" w14:textId="77777777" w:rsidR="00EE489D" w:rsidRDefault="00EE489D" w:rsidP="00E408A0">
      <w:pPr>
        <w:sectPr w:rsidR="00EE489D" w:rsidSect="00AC707C">
          <w:pgSz w:w="15840" w:h="12240" w:orient="landscape"/>
          <w:pgMar w:top="1440" w:right="1440" w:bottom="1440" w:left="1440" w:header="720" w:footer="720" w:gutter="0"/>
          <w:cols w:space="720"/>
          <w:docGrid w:linePitch="360"/>
        </w:sectPr>
      </w:pPr>
    </w:p>
    <w:p w14:paraId="2628BAAA" w14:textId="2EF3CF9D" w:rsidR="00EF5681" w:rsidRDefault="00EF5681" w:rsidP="00E408A0">
      <w:pPr>
        <w:pStyle w:val="Heading1"/>
      </w:pPr>
      <w:r>
        <w:lastRenderedPageBreak/>
        <w:t>Appendix</w:t>
      </w:r>
    </w:p>
    <w:p w14:paraId="23E71405" w14:textId="18CA2C94" w:rsidR="004B6768" w:rsidRDefault="004B6768" w:rsidP="00E408A0">
      <w:pPr>
        <w:pStyle w:val="Heading4"/>
        <w:rPr>
          <w:noProof/>
        </w:rPr>
      </w:pPr>
      <w:r w:rsidRPr="00C47481">
        <w:rPr>
          <w:noProof/>
        </w:rPr>
        <w:t xml:space="preserve">Figure </w:t>
      </w:r>
      <w:r>
        <w:rPr>
          <w:noProof/>
        </w:rPr>
        <w:t>S#</w:t>
      </w:r>
      <w:r w:rsidRPr="00C47481">
        <w:rPr>
          <w:noProof/>
        </w:rPr>
        <w:t>. Alfalfa</w:t>
      </w:r>
      <w:r>
        <w:rPr>
          <w:noProof/>
        </w:rPr>
        <w:t xml:space="preserve"> </w:t>
      </w:r>
      <w:r w:rsidR="00EA1CDE">
        <w:rPr>
          <w:noProof/>
        </w:rPr>
        <w:t>a</w:t>
      </w:r>
      <w:r>
        <w:rPr>
          <w:noProof/>
        </w:rPr>
        <w:t xml:space="preserve">vailability </w:t>
      </w:r>
      <w:r w:rsidR="00EA1CDE">
        <w:rPr>
          <w:noProof/>
        </w:rPr>
        <w:t>r</w:t>
      </w:r>
      <w:r w:rsidR="00987F13">
        <w:rPr>
          <w:noProof/>
        </w:rPr>
        <w:t xml:space="preserve">obusetness </w:t>
      </w:r>
    </w:p>
    <w:p w14:paraId="71DEA779" w14:textId="1316357B" w:rsidR="007236DD" w:rsidRPr="00C47481" w:rsidRDefault="00D83996" w:rsidP="00E408A0">
      <w:r>
        <w:rPr>
          <w:noProof/>
        </w:rPr>
        <w:drawing>
          <wp:inline distT="0" distB="0" distL="0" distR="0" wp14:anchorId="560E79F0" wp14:editId="1CBD3635">
            <wp:extent cx="5943612" cy="7315215"/>
            <wp:effectExtent l="0" t="0" r="0" b="0"/>
            <wp:docPr id="331597719" name="Picture 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7719" name="Picture 8" descr="A picture containing shap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12" cy="7315215"/>
                    </a:xfrm>
                    <a:prstGeom prst="rect">
                      <a:avLst/>
                    </a:prstGeom>
                  </pic:spPr>
                </pic:pic>
              </a:graphicData>
            </a:graphic>
          </wp:inline>
        </w:drawing>
      </w:r>
    </w:p>
    <w:sectPr w:rsidR="007236DD" w:rsidRPr="00C47481" w:rsidSect="00EA30C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siboe, Francis - REE-ERS" w:date="2024-08-02T11:29:00Z" w:initials="TFRE">
    <w:p w14:paraId="454F060E" w14:textId="77777777" w:rsidR="00AA12C8" w:rsidRDefault="00602082" w:rsidP="00AA12C8">
      <w:pPr>
        <w:pStyle w:val="CommentText"/>
        <w:jc w:val="left"/>
      </w:pPr>
      <w:r>
        <w:rPr>
          <w:rStyle w:val="CommentReference"/>
        </w:rPr>
        <w:annotationRef/>
      </w:r>
      <w:r w:rsidR="00AA12C8">
        <w:t xml:space="preserve">IPCC, 1994: IPCC Technical Guidelines for Assessing Climate Change Impacts and Adaptations. Prepared by Working Group II [Carter, T.R., M.L. Parry, H.Harasawa, and S. Nishioka] and WMO/UNEP. CGER-IO15-’94. University College London, UK and Center for Global Environmental Research, National Institute for Environmental Studies, Tsukuba, Japan, 59 pp </w:t>
      </w:r>
    </w:p>
  </w:comment>
  <w:comment w:id="1" w:author="Tsiboe, Francis - REE-ERS" w:date="2024-08-02T11:31:00Z" w:initials="TFRE">
    <w:p w14:paraId="728C3013" w14:textId="77777777" w:rsidR="005800F5" w:rsidRDefault="00344900" w:rsidP="005800F5">
      <w:pPr>
        <w:pStyle w:val="CommentText"/>
        <w:jc w:val="left"/>
      </w:pPr>
      <w:r>
        <w:rPr>
          <w:rStyle w:val="CommentReference"/>
        </w:rPr>
        <w:annotationRef/>
      </w:r>
      <w:r w:rsidR="005800F5">
        <w:t xml:space="preserve">Karl, T.R., R.W. Knight, D.R. Easterling, and R.G. Quayle, 1996: Indices of climate change for the United States. Bull. Am. Met. Soc., 77, 279- 292 </w:t>
      </w:r>
    </w:p>
    <w:p w14:paraId="071D3CE5" w14:textId="77777777" w:rsidR="005800F5" w:rsidRDefault="005800F5" w:rsidP="005800F5">
      <w:pPr>
        <w:pStyle w:val="CommentText"/>
        <w:jc w:val="left"/>
      </w:pPr>
    </w:p>
    <w:p w14:paraId="401210FC" w14:textId="77777777" w:rsidR="005800F5" w:rsidRDefault="00AE6C2A" w:rsidP="005800F5">
      <w:pPr>
        <w:pStyle w:val="CommentText"/>
        <w:jc w:val="left"/>
      </w:pPr>
      <w:hyperlink r:id="rId1" w:history="1">
        <w:r w:rsidR="005800F5" w:rsidRPr="00A45E0C">
          <w:rPr>
            <w:rStyle w:val="Hyperlink"/>
          </w:rPr>
          <w:t>https://journals.ametsoc.org/view/journals/bams/77/2/1520-0477_1996_077_0279_ioccft_2_0_co_2.xml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4F060E" w15:done="0"/>
  <w15:commentEx w15:paraId="401210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A43F86" w16cex:dateUtc="2024-08-02T16:29:00Z"/>
  <w16cex:commentExtensible w16cex:durableId="12A82D57" w16cex:dateUtc="2024-08-0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4F060E" w16cid:durableId="21A43F86"/>
  <w16cid:commentId w16cid:paraId="401210FC" w16cid:durableId="12A82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C8E00" w14:textId="77777777" w:rsidR="005D5F18" w:rsidRDefault="005D5F18" w:rsidP="00E408A0">
      <w:r>
        <w:separator/>
      </w:r>
    </w:p>
  </w:endnote>
  <w:endnote w:type="continuationSeparator" w:id="0">
    <w:p w14:paraId="5550D63D" w14:textId="77777777" w:rsidR="005D5F18" w:rsidRDefault="005D5F18" w:rsidP="00E408A0">
      <w:r>
        <w:continuationSeparator/>
      </w:r>
    </w:p>
  </w:endnote>
  <w:endnote w:type="continuationNotice" w:id="1">
    <w:p w14:paraId="0D2DDB67" w14:textId="77777777" w:rsidR="005D5F18" w:rsidRDefault="005D5F18" w:rsidP="00E40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8267789"/>
      <w:docPartObj>
        <w:docPartGallery w:val="Page Numbers (Bottom of Page)"/>
        <w:docPartUnique/>
      </w:docPartObj>
    </w:sdtPr>
    <w:sdtEndPr>
      <w:rPr>
        <w:noProof/>
      </w:rPr>
    </w:sdtEndPr>
    <w:sdtContent>
      <w:p w14:paraId="23B1EF28" w14:textId="07CE7E28" w:rsidR="00B22C80" w:rsidRDefault="00B2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A6582" w14:textId="77777777" w:rsidR="00414170" w:rsidRDefault="00414170" w:rsidP="00E40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4A2D0" w14:textId="77777777" w:rsidR="005D5F18" w:rsidRDefault="005D5F18" w:rsidP="00B22C80">
      <w:pPr>
        <w:spacing w:after="0" w:line="240" w:lineRule="auto"/>
      </w:pPr>
      <w:r>
        <w:separator/>
      </w:r>
    </w:p>
  </w:footnote>
  <w:footnote w:type="continuationSeparator" w:id="0">
    <w:p w14:paraId="1D14B729" w14:textId="77777777" w:rsidR="005D5F18" w:rsidRDefault="005D5F18" w:rsidP="00B22C80">
      <w:pPr>
        <w:spacing w:after="0" w:line="240" w:lineRule="auto"/>
      </w:pPr>
      <w:r>
        <w:continuationSeparator/>
      </w:r>
    </w:p>
  </w:footnote>
  <w:footnote w:type="continuationNotice" w:id="1">
    <w:p w14:paraId="67CC64E3" w14:textId="77777777" w:rsidR="005D5F18" w:rsidRDefault="005D5F18" w:rsidP="00B22C80">
      <w:pPr>
        <w:spacing w:after="0" w:line="240" w:lineRule="auto"/>
      </w:pPr>
    </w:p>
  </w:footnote>
  <w:footnote w:id="2">
    <w:p w14:paraId="49775D05" w14:textId="77777777" w:rsidR="00D22195" w:rsidRDefault="00D22195" w:rsidP="00B22C80">
      <w:pPr>
        <w:spacing w:after="120" w:line="240" w:lineRule="auto"/>
      </w:pPr>
      <w:r>
        <w:rPr>
          <w:rStyle w:val="FootnoteReference"/>
        </w:rPr>
        <w:footnoteRef/>
      </w:r>
      <w:r>
        <w:t xml:space="preserve"> A</w:t>
      </w:r>
      <w:r w:rsidRPr="007F7AAF">
        <w:t>n acre of alfalfa</w:t>
      </w:r>
      <w:r>
        <w:t>,</w:t>
      </w:r>
      <w:r w:rsidRPr="007F7AAF">
        <w:t xml:space="preserve"> on average</w:t>
      </w:r>
      <w:r>
        <w:t>,</w:t>
      </w:r>
      <w:r w:rsidRPr="007F7AAF">
        <w:t xml:space="preserve"> will fix about 200kg of nitrogen per year</w:t>
      </w:r>
      <w:r>
        <w:t>.</w:t>
      </w:r>
    </w:p>
  </w:footnote>
  <w:footnote w:id="3">
    <w:p w14:paraId="009306D8" w14:textId="55CEABE5" w:rsidR="00030DB7" w:rsidRDefault="00030DB7" w:rsidP="00B22C80">
      <w:pPr>
        <w:spacing w:after="120" w:line="240" w:lineRule="auto"/>
      </w:pPr>
      <w:r>
        <w:rPr>
          <w:rStyle w:val="FootnoteReference"/>
        </w:rPr>
        <w:footnoteRef/>
      </w:r>
      <w:r>
        <w:t xml:space="preserve"> United States (general): May 1 to April 30; Arizona and California: April 1 to March 31; Alabama, Arkansas, Colorado, Florida, Georgia, Kansas, Kentucky, Louisiana, Mississippi, Missouri, Nevada, New Mexico, North Carolina, Oklahoma, Pennsylvania, South Carolina, Tennessee, Texas, Utah, and Virginia: May 1 to April 30; and all other states: June 1 to May 31</w:t>
      </w:r>
      <w:r w:rsidR="009A0D9A">
        <w:t>.</w:t>
      </w:r>
    </w:p>
  </w:footnote>
  <w:footnote w:id="4">
    <w:p w14:paraId="269EAAD8" w14:textId="77777777" w:rsidR="000834CB" w:rsidRPr="004704A3" w:rsidRDefault="000834CB" w:rsidP="00B22C80">
      <w:pPr>
        <w:spacing w:after="120" w:line="240" w:lineRule="auto"/>
      </w:pPr>
      <w:r w:rsidRPr="004704A3">
        <w:rPr>
          <w:rStyle w:val="FootnoteReference"/>
        </w:rPr>
        <w:footnoteRef/>
      </w:r>
      <w:r w:rsidRPr="004704A3">
        <w:t xml:space="preserve"> All </w:t>
      </w:r>
      <w:r>
        <w:t>d</w:t>
      </w:r>
      <w:r w:rsidRPr="004704A3">
        <w:t>ata and models were processed on Beocat, a High-Performance Computing cluster at Kansas State University (</w:t>
      </w:r>
      <w:hyperlink r:id="rId1" w:history="1">
        <w:r w:rsidRPr="004704A3">
          <w:rPr>
            <w:rStyle w:val="Hyperlink"/>
          </w:rPr>
          <w:t>https://beocat.ksu.edu/</w:t>
        </w:r>
      </w:hyperlink>
      <w:r w:rsidRPr="004704A3">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009DD"/>
    <w:multiLevelType w:val="multilevel"/>
    <w:tmpl w:val="3C9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01657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siboe, Francis - REE-ERS">
    <w15:presenceInfo w15:providerId="AD" w15:userId="S::Francis.Tsiboe@usda.gov::7cf6428f-2d9c-421a-9f6a-d2b1119836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US" w:vendorID="64" w:dllVersion="0" w:nlCheck="1" w:checkStyle="0"/>
  <w:activeWritingStyle w:appName="MSWord" w:lang="en-US" w:vendorID="64" w:dllVersion="6"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0NLO0MDE2MLAwN7JU0lEKTi0uzszPAykwMqkFAFeFMSgtAAAA"/>
  </w:docVars>
  <w:rsids>
    <w:rsidRoot w:val="00035D70"/>
    <w:rsid w:val="000021F0"/>
    <w:rsid w:val="000037F4"/>
    <w:rsid w:val="00006381"/>
    <w:rsid w:val="00007CD9"/>
    <w:rsid w:val="000101DE"/>
    <w:rsid w:val="00011EC6"/>
    <w:rsid w:val="000123CC"/>
    <w:rsid w:val="00012D9A"/>
    <w:rsid w:val="0001315E"/>
    <w:rsid w:val="00014D9E"/>
    <w:rsid w:val="000163D6"/>
    <w:rsid w:val="00016EA6"/>
    <w:rsid w:val="000203E8"/>
    <w:rsid w:val="00020A81"/>
    <w:rsid w:val="00023388"/>
    <w:rsid w:val="00023A26"/>
    <w:rsid w:val="00024841"/>
    <w:rsid w:val="000249F2"/>
    <w:rsid w:val="00025671"/>
    <w:rsid w:val="00025933"/>
    <w:rsid w:val="00025D9D"/>
    <w:rsid w:val="00026017"/>
    <w:rsid w:val="00026B12"/>
    <w:rsid w:val="000307B4"/>
    <w:rsid w:val="00030DB7"/>
    <w:rsid w:val="00032357"/>
    <w:rsid w:val="0003399B"/>
    <w:rsid w:val="0003466D"/>
    <w:rsid w:val="00034746"/>
    <w:rsid w:val="00035D70"/>
    <w:rsid w:val="00035EE1"/>
    <w:rsid w:val="0003695D"/>
    <w:rsid w:val="00036D4D"/>
    <w:rsid w:val="000403C4"/>
    <w:rsid w:val="00040C29"/>
    <w:rsid w:val="00040D9F"/>
    <w:rsid w:val="00043057"/>
    <w:rsid w:val="000434F4"/>
    <w:rsid w:val="000444D8"/>
    <w:rsid w:val="00045463"/>
    <w:rsid w:val="00045C90"/>
    <w:rsid w:val="00047699"/>
    <w:rsid w:val="00047B37"/>
    <w:rsid w:val="00047B80"/>
    <w:rsid w:val="000501FB"/>
    <w:rsid w:val="000538D9"/>
    <w:rsid w:val="0005469B"/>
    <w:rsid w:val="00055BE7"/>
    <w:rsid w:val="00056009"/>
    <w:rsid w:val="00056117"/>
    <w:rsid w:val="000562AA"/>
    <w:rsid w:val="00056564"/>
    <w:rsid w:val="00056682"/>
    <w:rsid w:val="00056FDE"/>
    <w:rsid w:val="000573D5"/>
    <w:rsid w:val="0005775A"/>
    <w:rsid w:val="00057ECC"/>
    <w:rsid w:val="00060747"/>
    <w:rsid w:val="00060C72"/>
    <w:rsid w:val="000634F8"/>
    <w:rsid w:val="00063576"/>
    <w:rsid w:val="0006415D"/>
    <w:rsid w:val="0006467E"/>
    <w:rsid w:val="00065EE0"/>
    <w:rsid w:val="00072F3B"/>
    <w:rsid w:val="00073264"/>
    <w:rsid w:val="00073540"/>
    <w:rsid w:val="000751B2"/>
    <w:rsid w:val="00075F0A"/>
    <w:rsid w:val="00077836"/>
    <w:rsid w:val="00077F8E"/>
    <w:rsid w:val="00080805"/>
    <w:rsid w:val="00080CFB"/>
    <w:rsid w:val="000822A0"/>
    <w:rsid w:val="00083195"/>
    <w:rsid w:val="000834CB"/>
    <w:rsid w:val="00085110"/>
    <w:rsid w:val="00086B2A"/>
    <w:rsid w:val="00087068"/>
    <w:rsid w:val="00087F5E"/>
    <w:rsid w:val="00090935"/>
    <w:rsid w:val="00090CFF"/>
    <w:rsid w:val="0009154A"/>
    <w:rsid w:val="0009310E"/>
    <w:rsid w:val="00094C9B"/>
    <w:rsid w:val="00094E6A"/>
    <w:rsid w:val="0009795B"/>
    <w:rsid w:val="00097DED"/>
    <w:rsid w:val="000A16D5"/>
    <w:rsid w:val="000A30EE"/>
    <w:rsid w:val="000A3DCA"/>
    <w:rsid w:val="000A4939"/>
    <w:rsid w:val="000A598E"/>
    <w:rsid w:val="000A64D2"/>
    <w:rsid w:val="000A7C72"/>
    <w:rsid w:val="000B01C6"/>
    <w:rsid w:val="000B0645"/>
    <w:rsid w:val="000B0FB5"/>
    <w:rsid w:val="000B17A8"/>
    <w:rsid w:val="000B19CD"/>
    <w:rsid w:val="000B1D26"/>
    <w:rsid w:val="000B2DA2"/>
    <w:rsid w:val="000B3588"/>
    <w:rsid w:val="000B7013"/>
    <w:rsid w:val="000B7946"/>
    <w:rsid w:val="000B7BC7"/>
    <w:rsid w:val="000B7CDB"/>
    <w:rsid w:val="000C10AF"/>
    <w:rsid w:val="000C40C6"/>
    <w:rsid w:val="000C485D"/>
    <w:rsid w:val="000C497B"/>
    <w:rsid w:val="000C4BC9"/>
    <w:rsid w:val="000D1423"/>
    <w:rsid w:val="000D15F3"/>
    <w:rsid w:val="000D1BC9"/>
    <w:rsid w:val="000D1C67"/>
    <w:rsid w:val="000D1CE1"/>
    <w:rsid w:val="000D216B"/>
    <w:rsid w:val="000D353C"/>
    <w:rsid w:val="000D39A7"/>
    <w:rsid w:val="000D4A96"/>
    <w:rsid w:val="000D5DBB"/>
    <w:rsid w:val="000D6447"/>
    <w:rsid w:val="000D6E9B"/>
    <w:rsid w:val="000D6ED1"/>
    <w:rsid w:val="000E005D"/>
    <w:rsid w:val="000E1664"/>
    <w:rsid w:val="000E1837"/>
    <w:rsid w:val="000E28B8"/>
    <w:rsid w:val="000E3607"/>
    <w:rsid w:val="000E5141"/>
    <w:rsid w:val="000E55A0"/>
    <w:rsid w:val="000E6EBB"/>
    <w:rsid w:val="000F00CA"/>
    <w:rsid w:val="000F0BEE"/>
    <w:rsid w:val="000F1665"/>
    <w:rsid w:val="000F1B4B"/>
    <w:rsid w:val="000F20C0"/>
    <w:rsid w:val="000F2A75"/>
    <w:rsid w:val="000F2EA7"/>
    <w:rsid w:val="000F3429"/>
    <w:rsid w:val="000F3C6E"/>
    <w:rsid w:val="000F3CEA"/>
    <w:rsid w:val="000F3D26"/>
    <w:rsid w:val="000F41C1"/>
    <w:rsid w:val="000F56C5"/>
    <w:rsid w:val="000F642E"/>
    <w:rsid w:val="000F6D46"/>
    <w:rsid w:val="000F7557"/>
    <w:rsid w:val="000F7A28"/>
    <w:rsid w:val="00100C9C"/>
    <w:rsid w:val="00103F57"/>
    <w:rsid w:val="001051F9"/>
    <w:rsid w:val="0010580F"/>
    <w:rsid w:val="00107CF4"/>
    <w:rsid w:val="00107DB0"/>
    <w:rsid w:val="001101C2"/>
    <w:rsid w:val="00110CC5"/>
    <w:rsid w:val="00111949"/>
    <w:rsid w:val="001131E9"/>
    <w:rsid w:val="00113D13"/>
    <w:rsid w:val="0011428A"/>
    <w:rsid w:val="00115872"/>
    <w:rsid w:val="00115B38"/>
    <w:rsid w:val="00117F2F"/>
    <w:rsid w:val="00120612"/>
    <w:rsid w:val="00122E42"/>
    <w:rsid w:val="00127E63"/>
    <w:rsid w:val="00130006"/>
    <w:rsid w:val="00131931"/>
    <w:rsid w:val="00131CEC"/>
    <w:rsid w:val="00134638"/>
    <w:rsid w:val="00134646"/>
    <w:rsid w:val="00135CEF"/>
    <w:rsid w:val="00136475"/>
    <w:rsid w:val="00137D33"/>
    <w:rsid w:val="00137FE4"/>
    <w:rsid w:val="0014040D"/>
    <w:rsid w:val="0014310A"/>
    <w:rsid w:val="001443BC"/>
    <w:rsid w:val="00144C93"/>
    <w:rsid w:val="00146A6E"/>
    <w:rsid w:val="001479B8"/>
    <w:rsid w:val="0015134A"/>
    <w:rsid w:val="00151670"/>
    <w:rsid w:val="001516D6"/>
    <w:rsid w:val="00151D47"/>
    <w:rsid w:val="001526A2"/>
    <w:rsid w:val="001534DC"/>
    <w:rsid w:val="001535EB"/>
    <w:rsid w:val="00157EC5"/>
    <w:rsid w:val="00160C3F"/>
    <w:rsid w:val="0016172C"/>
    <w:rsid w:val="001618B9"/>
    <w:rsid w:val="00162009"/>
    <w:rsid w:val="001620ED"/>
    <w:rsid w:val="00162E9B"/>
    <w:rsid w:val="00162EF7"/>
    <w:rsid w:val="00163099"/>
    <w:rsid w:val="00163892"/>
    <w:rsid w:val="00164BEE"/>
    <w:rsid w:val="0016507A"/>
    <w:rsid w:val="001659CA"/>
    <w:rsid w:val="00166DE2"/>
    <w:rsid w:val="00170A7F"/>
    <w:rsid w:val="001719FA"/>
    <w:rsid w:val="00171AC1"/>
    <w:rsid w:val="00171FDE"/>
    <w:rsid w:val="001720BE"/>
    <w:rsid w:val="00172736"/>
    <w:rsid w:val="00173B1E"/>
    <w:rsid w:val="001742B3"/>
    <w:rsid w:val="0017433A"/>
    <w:rsid w:val="001745A4"/>
    <w:rsid w:val="00174B5C"/>
    <w:rsid w:val="00174B88"/>
    <w:rsid w:val="001759D1"/>
    <w:rsid w:val="00176246"/>
    <w:rsid w:val="0017790E"/>
    <w:rsid w:val="00177A56"/>
    <w:rsid w:val="001807E9"/>
    <w:rsid w:val="00180B27"/>
    <w:rsid w:val="00181620"/>
    <w:rsid w:val="001819C1"/>
    <w:rsid w:val="0018365E"/>
    <w:rsid w:val="001841AC"/>
    <w:rsid w:val="0018464C"/>
    <w:rsid w:val="001851B8"/>
    <w:rsid w:val="001854EC"/>
    <w:rsid w:val="00186EE5"/>
    <w:rsid w:val="00190388"/>
    <w:rsid w:val="00191028"/>
    <w:rsid w:val="001920BE"/>
    <w:rsid w:val="00193E10"/>
    <w:rsid w:val="001941C9"/>
    <w:rsid w:val="00194A88"/>
    <w:rsid w:val="00195C99"/>
    <w:rsid w:val="0019792A"/>
    <w:rsid w:val="001A0400"/>
    <w:rsid w:val="001A04E1"/>
    <w:rsid w:val="001A18D3"/>
    <w:rsid w:val="001A1E14"/>
    <w:rsid w:val="001A2A0A"/>
    <w:rsid w:val="001A2B62"/>
    <w:rsid w:val="001A36AC"/>
    <w:rsid w:val="001A3F82"/>
    <w:rsid w:val="001A53B5"/>
    <w:rsid w:val="001A663A"/>
    <w:rsid w:val="001A6A8D"/>
    <w:rsid w:val="001A720F"/>
    <w:rsid w:val="001B06E2"/>
    <w:rsid w:val="001B0DC2"/>
    <w:rsid w:val="001B1F7B"/>
    <w:rsid w:val="001B2C65"/>
    <w:rsid w:val="001B3135"/>
    <w:rsid w:val="001B44D9"/>
    <w:rsid w:val="001B47CE"/>
    <w:rsid w:val="001B6004"/>
    <w:rsid w:val="001B6490"/>
    <w:rsid w:val="001B678F"/>
    <w:rsid w:val="001B7857"/>
    <w:rsid w:val="001C3D1F"/>
    <w:rsid w:val="001C3DF0"/>
    <w:rsid w:val="001C586A"/>
    <w:rsid w:val="001C5A38"/>
    <w:rsid w:val="001C5D3F"/>
    <w:rsid w:val="001D228E"/>
    <w:rsid w:val="001D2444"/>
    <w:rsid w:val="001D2973"/>
    <w:rsid w:val="001D3988"/>
    <w:rsid w:val="001D3C30"/>
    <w:rsid w:val="001D4490"/>
    <w:rsid w:val="001D4609"/>
    <w:rsid w:val="001D49EF"/>
    <w:rsid w:val="001D6161"/>
    <w:rsid w:val="001D6898"/>
    <w:rsid w:val="001D6B92"/>
    <w:rsid w:val="001D74F8"/>
    <w:rsid w:val="001D7DCA"/>
    <w:rsid w:val="001D7FFD"/>
    <w:rsid w:val="001E04FF"/>
    <w:rsid w:val="001E51AA"/>
    <w:rsid w:val="001E6595"/>
    <w:rsid w:val="001E69AC"/>
    <w:rsid w:val="001E702B"/>
    <w:rsid w:val="001F0C30"/>
    <w:rsid w:val="001F184A"/>
    <w:rsid w:val="001F1DDB"/>
    <w:rsid w:val="001F1E9B"/>
    <w:rsid w:val="001F291A"/>
    <w:rsid w:val="001F3846"/>
    <w:rsid w:val="001F3B7D"/>
    <w:rsid w:val="001F5211"/>
    <w:rsid w:val="001F5D11"/>
    <w:rsid w:val="001F6CFE"/>
    <w:rsid w:val="001F779D"/>
    <w:rsid w:val="002025DD"/>
    <w:rsid w:val="002026FD"/>
    <w:rsid w:val="00203852"/>
    <w:rsid w:val="00203E01"/>
    <w:rsid w:val="00203FA9"/>
    <w:rsid w:val="0020704D"/>
    <w:rsid w:val="00210A5F"/>
    <w:rsid w:val="00210A9A"/>
    <w:rsid w:val="00210C43"/>
    <w:rsid w:val="00210CC7"/>
    <w:rsid w:val="00211443"/>
    <w:rsid w:val="002125D3"/>
    <w:rsid w:val="00212AD3"/>
    <w:rsid w:val="00212DBD"/>
    <w:rsid w:val="00213445"/>
    <w:rsid w:val="002155BC"/>
    <w:rsid w:val="002175D7"/>
    <w:rsid w:val="002216FF"/>
    <w:rsid w:val="00222CF7"/>
    <w:rsid w:val="00223C75"/>
    <w:rsid w:val="00224CF9"/>
    <w:rsid w:val="0022741D"/>
    <w:rsid w:val="002302B9"/>
    <w:rsid w:val="00230B57"/>
    <w:rsid w:val="00231B26"/>
    <w:rsid w:val="002323FA"/>
    <w:rsid w:val="00235BF2"/>
    <w:rsid w:val="0023748C"/>
    <w:rsid w:val="00241A42"/>
    <w:rsid w:val="00241D9B"/>
    <w:rsid w:val="002423A4"/>
    <w:rsid w:val="00242E25"/>
    <w:rsid w:val="00243300"/>
    <w:rsid w:val="00244B17"/>
    <w:rsid w:val="0024506E"/>
    <w:rsid w:val="002450BF"/>
    <w:rsid w:val="00245C06"/>
    <w:rsid w:val="0024676E"/>
    <w:rsid w:val="0024682C"/>
    <w:rsid w:val="00246A52"/>
    <w:rsid w:val="00246AA9"/>
    <w:rsid w:val="00246D98"/>
    <w:rsid w:val="00247456"/>
    <w:rsid w:val="00247722"/>
    <w:rsid w:val="0025392F"/>
    <w:rsid w:val="00253AC5"/>
    <w:rsid w:val="00254550"/>
    <w:rsid w:val="00254A78"/>
    <w:rsid w:val="00255675"/>
    <w:rsid w:val="00255BAA"/>
    <w:rsid w:val="00255CB8"/>
    <w:rsid w:val="00256C78"/>
    <w:rsid w:val="00257F11"/>
    <w:rsid w:val="002603BF"/>
    <w:rsid w:val="002604BF"/>
    <w:rsid w:val="002611BB"/>
    <w:rsid w:val="002630B0"/>
    <w:rsid w:val="00263FD2"/>
    <w:rsid w:val="0026417A"/>
    <w:rsid w:val="002641D1"/>
    <w:rsid w:val="00264852"/>
    <w:rsid w:val="0026641B"/>
    <w:rsid w:val="0026769D"/>
    <w:rsid w:val="00267987"/>
    <w:rsid w:val="00267AE0"/>
    <w:rsid w:val="00267AED"/>
    <w:rsid w:val="0027062B"/>
    <w:rsid w:val="00270C60"/>
    <w:rsid w:val="0027253D"/>
    <w:rsid w:val="0027397D"/>
    <w:rsid w:val="00273BA4"/>
    <w:rsid w:val="0027416A"/>
    <w:rsid w:val="00274619"/>
    <w:rsid w:val="002759BA"/>
    <w:rsid w:val="0027729A"/>
    <w:rsid w:val="002772CA"/>
    <w:rsid w:val="002848FF"/>
    <w:rsid w:val="002858AB"/>
    <w:rsid w:val="00285E1B"/>
    <w:rsid w:val="00286115"/>
    <w:rsid w:val="00287514"/>
    <w:rsid w:val="002876F9"/>
    <w:rsid w:val="00293566"/>
    <w:rsid w:val="002937E6"/>
    <w:rsid w:val="00293AB6"/>
    <w:rsid w:val="002947DD"/>
    <w:rsid w:val="0029527A"/>
    <w:rsid w:val="002953EE"/>
    <w:rsid w:val="002A00B1"/>
    <w:rsid w:val="002A14ED"/>
    <w:rsid w:val="002A17BA"/>
    <w:rsid w:val="002A1937"/>
    <w:rsid w:val="002A1B95"/>
    <w:rsid w:val="002A1D1C"/>
    <w:rsid w:val="002A1E3F"/>
    <w:rsid w:val="002A5BD7"/>
    <w:rsid w:val="002A68F7"/>
    <w:rsid w:val="002A70A5"/>
    <w:rsid w:val="002A750C"/>
    <w:rsid w:val="002B0279"/>
    <w:rsid w:val="002B0570"/>
    <w:rsid w:val="002B1042"/>
    <w:rsid w:val="002B147B"/>
    <w:rsid w:val="002B1AF7"/>
    <w:rsid w:val="002B2717"/>
    <w:rsid w:val="002B2856"/>
    <w:rsid w:val="002B2A72"/>
    <w:rsid w:val="002B2BA8"/>
    <w:rsid w:val="002B57B5"/>
    <w:rsid w:val="002B61FF"/>
    <w:rsid w:val="002B6400"/>
    <w:rsid w:val="002B7423"/>
    <w:rsid w:val="002B7AD1"/>
    <w:rsid w:val="002C2B9E"/>
    <w:rsid w:val="002C2C08"/>
    <w:rsid w:val="002C2E0E"/>
    <w:rsid w:val="002C482B"/>
    <w:rsid w:val="002C4D60"/>
    <w:rsid w:val="002C5176"/>
    <w:rsid w:val="002C5235"/>
    <w:rsid w:val="002C6332"/>
    <w:rsid w:val="002C6394"/>
    <w:rsid w:val="002C6471"/>
    <w:rsid w:val="002D2D13"/>
    <w:rsid w:val="002D3FB9"/>
    <w:rsid w:val="002D5EB9"/>
    <w:rsid w:val="002D7A3B"/>
    <w:rsid w:val="002E008F"/>
    <w:rsid w:val="002E2F72"/>
    <w:rsid w:val="002E3A2C"/>
    <w:rsid w:val="002E41EF"/>
    <w:rsid w:val="002E5B0C"/>
    <w:rsid w:val="002E5CBD"/>
    <w:rsid w:val="002E6F4B"/>
    <w:rsid w:val="002E7DF2"/>
    <w:rsid w:val="002F0340"/>
    <w:rsid w:val="002F198E"/>
    <w:rsid w:val="002F22E1"/>
    <w:rsid w:val="002F239F"/>
    <w:rsid w:val="002F2732"/>
    <w:rsid w:val="002F436C"/>
    <w:rsid w:val="002F47A2"/>
    <w:rsid w:val="002F49F4"/>
    <w:rsid w:val="002F4AA6"/>
    <w:rsid w:val="0030331D"/>
    <w:rsid w:val="00303364"/>
    <w:rsid w:val="0030412D"/>
    <w:rsid w:val="00304E4F"/>
    <w:rsid w:val="00306801"/>
    <w:rsid w:val="00306A16"/>
    <w:rsid w:val="003070D7"/>
    <w:rsid w:val="003071E3"/>
    <w:rsid w:val="00307C80"/>
    <w:rsid w:val="0031047C"/>
    <w:rsid w:val="0031113E"/>
    <w:rsid w:val="00312D34"/>
    <w:rsid w:val="00313590"/>
    <w:rsid w:val="00313B2B"/>
    <w:rsid w:val="00313BCC"/>
    <w:rsid w:val="003140AB"/>
    <w:rsid w:val="00314EFD"/>
    <w:rsid w:val="0031516B"/>
    <w:rsid w:val="003152ED"/>
    <w:rsid w:val="00315A84"/>
    <w:rsid w:val="0032053B"/>
    <w:rsid w:val="003219F0"/>
    <w:rsid w:val="0032275E"/>
    <w:rsid w:val="003228F1"/>
    <w:rsid w:val="00325B47"/>
    <w:rsid w:val="00326C13"/>
    <w:rsid w:val="003308C7"/>
    <w:rsid w:val="00331467"/>
    <w:rsid w:val="003330C4"/>
    <w:rsid w:val="003359BF"/>
    <w:rsid w:val="003359D9"/>
    <w:rsid w:val="003365B2"/>
    <w:rsid w:val="00336949"/>
    <w:rsid w:val="00336EDB"/>
    <w:rsid w:val="00340A55"/>
    <w:rsid w:val="00340F83"/>
    <w:rsid w:val="00341C70"/>
    <w:rsid w:val="00342D20"/>
    <w:rsid w:val="00343075"/>
    <w:rsid w:val="003438C2"/>
    <w:rsid w:val="00344900"/>
    <w:rsid w:val="00345AE5"/>
    <w:rsid w:val="00345C8F"/>
    <w:rsid w:val="00347E6E"/>
    <w:rsid w:val="0035030E"/>
    <w:rsid w:val="00350AD5"/>
    <w:rsid w:val="00350C26"/>
    <w:rsid w:val="00352CC5"/>
    <w:rsid w:val="00354AED"/>
    <w:rsid w:val="0035524B"/>
    <w:rsid w:val="00356343"/>
    <w:rsid w:val="003563CC"/>
    <w:rsid w:val="00356FCC"/>
    <w:rsid w:val="0035735A"/>
    <w:rsid w:val="0035783E"/>
    <w:rsid w:val="003578D5"/>
    <w:rsid w:val="00360B8C"/>
    <w:rsid w:val="003614AF"/>
    <w:rsid w:val="00361BD2"/>
    <w:rsid w:val="00363AD2"/>
    <w:rsid w:val="00363CCE"/>
    <w:rsid w:val="0036427B"/>
    <w:rsid w:val="00365457"/>
    <w:rsid w:val="0036551F"/>
    <w:rsid w:val="003659DB"/>
    <w:rsid w:val="00366226"/>
    <w:rsid w:val="00366A8A"/>
    <w:rsid w:val="003675DD"/>
    <w:rsid w:val="003676CD"/>
    <w:rsid w:val="00370A8D"/>
    <w:rsid w:val="00370BB8"/>
    <w:rsid w:val="0037267E"/>
    <w:rsid w:val="003727E4"/>
    <w:rsid w:val="00373318"/>
    <w:rsid w:val="003735BE"/>
    <w:rsid w:val="003751DE"/>
    <w:rsid w:val="0037524D"/>
    <w:rsid w:val="0037571A"/>
    <w:rsid w:val="003812B0"/>
    <w:rsid w:val="00382BD0"/>
    <w:rsid w:val="00382D81"/>
    <w:rsid w:val="00383293"/>
    <w:rsid w:val="00383861"/>
    <w:rsid w:val="00385382"/>
    <w:rsid w:val="0038668F"/>
    <w:rsid w:val="003906C1"/>
    <w:rsid w:val="00391441"/>
    <w:rsid w:val="00391689"/>
    <w:rsid w:val="00392510"/>
    <w:rsid w:val="00392F21"/>
    <w:rsid w:val="0039353F"/>
    <w:rsid w:val="003945C5"/>
    <w:rsid w:val="00394EA7"/>
    <w:rsid w:val="0039554A"/>
    <w:rsid w:val="00396C99"/>
    <w:rsid w:val="0039761D"/>
    <w:rsid w:val="00397F3E"/>
    <w:rsid w:val="003A033A"/>
    <w:rsid w:val="003A2070"/>
    <w:rsid w:val="003A2C62"/>
    <w:rsid w:val="003A42D8"/>
    <w:rsid w:val="003A537E"/>
    <w:rsid w:val="003A54C2"/>
    <w:rsid w:val="003A59FD"/>
    <w:rsid w:val="003A5D06"/>
    <w:rsid w:val="003A65A3"/>
    <w:rsid w:val="003A6ABA"/>
    <w:rsid w:val="003A74C0"/>
    <w:rsid w:val="003A7803"/>
    <w:rsid w:val="003B0EEB"/>
    <w:rsid w:val="003B1936"/>
    <w:rsid w:val="003B2DE6"/>
    <w:rsid w:val="003B36A1"/>
    <w:rsid w:val="003B5BA1"/>
    <w:rsid w:val="003B5E43"/>
    <w:rsid w:val="003B6C25"/>
    <w:rsid w:val="003B75B0"/>
    <w:rsid w:val="003B7E9C"/>
    <w:rsid w:val="003C4458"/>
    <w:rsid w:val="003C7ACD"/>
    <w:rsid w:val="003C7DD1"/>
    <w:rsid w:val="003D0747"/>
    <w:rsid w:val="003D14B4"/>
    <w:rsid w:val="003D1657"/>
    <w:rsid w:val="003D16B7"/>
    <w:rsid w:val="003D16FC"/>
    <w:rsid w:val="003D17CA"/>
    <w:rsid w:val="003D1836"/>
    <w:rsid w:val="003D1DC5"/>
    <w:rsid w:val="003D240B"/>
    <w:rsid w:val="003D28FA"/>
    <w:rsid w:val="003D3205"/>
    <w:rsid w:val="003D3519"/>
    <w:rsid w:val="003D4215"/>
    <w:rsid w:val="003D484F"/>
    <w:rsid w:val="003D5FEC"/>
    <w:rsid w:val="003D63E0"/>
    <w:rsid w:val="003D7E80"/>
    <w:rsid w:val="003E082E"/>
    <w:rsid w:val="003E1480"/>
    <w:rsid w:val="003E2347"/>
    <w:rsid w:val="003E38DA"/>
    <w:rsid w:val="003E3A3C"/>
    <w:rsid w:val="003E3CAF"/>
    <w:rsid w:val="003E688C"/>
    <w:rsid w:val="003E73B6"/>
    <w:rsid w:val="003F077B"/>
    <w:rsid w:val="003F0A14"/>
    <w:rsid w:val="003F0B5E"/>
    <w:rsid w:val="003F176C"/>
    <w:rsid w:val="003F1B21"/>
    <w:rsid w:val="003F691E"/>
    <w:rsid w:val="003F7A02"/>
    <w:rsid w:val="003F7EC0"/>
    <w:rsid w:val="00400817"/>
    <w:rsid w:val="004018CB"/>
    <w:rsid w:val="00401DBF"/>
    <w:rsid w:val="004026CA"/>
    <w:rsid w:val="004031B3"/>
    <w:rsid w:val="00403605"/>
    <w:rsid w:val="00405221"/>
    <w:rsid w:val="004055FE"/>
    <w:rsid w:val="00406587"/>
    <w:rsid w:val="004071B6"/>
    <w:rsid w:val="00412741"/>
    <w:rsid w:val="004128DD"/>
    <w:rsid w:val="00414170"/>
    <w:rsid w:val="00415486"/>
    <w:rsid w:val="00416856"/>
    <w:rsid w:val="00417897"/>
    <w:rsid w:val="00417DD8"/>
    <w:rsid w:val="00422419"/>
    <w:rsid w:val="004240D9"/>
    <w:rsid w:val="0042450D"/>
    <w:rsid w:val="00424D73"/>
    <w:rsid w:val="004252EB"/>
    <w:rsid w:val="00425A63"/>
    <w:rsid w:val="00425C1C"/>
    <w:rsid w:val="00425CB9"/>
    <w:rsid w:val="00426E8A"/>
    <w:rsid w:val="0043349B"/>
    <w:rsid w:val="004338F9"/>
    <w:rsid w:val="00433C62"/>
    <w:rsid w:val="00434096"/>
    <w:rsid w:val="0043471A"/>
    <w:rsid w:val="00436A97"/>
    <w:rsid w:val="004407D4"/>
    <w:rsid w:val="00440857"/>
    <w:rsid w:val="00441E64"/>
    <w:rsid w:val="00442E0D"/>
    <w:rsid w:val="004438AA"/>
    <w:rsid w:val="004452C5"/>
    <w:rsid w:val="00445688"/>
    <w:rsid w:val="004468C4"/>
    <w:rsid w:val="00446CAC"/>
    <w:rsid w:val="00447225"/>
    <w:rsid w:val="00450013"/>
    <w:rsid w:val="00450643"/>
    <w:rsid w:val="00450979"/>
    <w:rsid w:val="00450A8F"/>
    <w:rsid w:val="004511DB"/>
    <w:rsid w:val="00451C8F"/>
    <w:rsid w:val="004536BA"/>
    <w:rsid w:val="00453D2B"/>
    <w:rsid w:val="00455399"/>
    <w:rsid w:val="004603BF"/>
    <w:rsid w:val="00460491"/>
    <w:rsid w:val="00461402"/>
    <w:rsid w:val="00461593"/>
    <w:rsid w:val="00463C2B"/>
    <w:rsid w:val="0046477C"/>
    <w:rsid w:val="00464EFF"/>
    <w:rsid w:val="0046524D"/>
    <w:rsid w:val="004664E4"/>
    <w:rsid w:val="00466E37"/>
    <w:rsid w:val="00466F22"/>
    <w:rsid w:val="0046770C"/>
    <w:rsid w:val="004704A3"/>
    <w:rsid w:val="004713CF"/>
    <w:rsid w:val="004719DD"/>
    <w:rsid w:val="00471A13"/>
    <w:rsid w:val="00471F6E"/>
    <w:rsid w:val="00472C37"/>
    <w:rsid w:val="004734F1"/>
    <w:rsid w:val="004735D1"/>
    <w:rsid w:val="004747A5"/>
    <w:rsid w:val="004750C9"/>
    <w:rsid w:val="00475D2B"/>
    <w:rsid w:val="00475E54"/>
    <w:rsid w:val="00476F6D"/>
    <w:rsid w:val="004810D4"/>
    <w:rsid w:val="00482610"/>
    <w:rsid w:val="004833A6"/>
    <w:rsid w:val="00483759"/>
    <w:rsid w:val="004838BD"/>
    <w:rsid w:val="004842B9"/>
    <w:rsid w:val="00484C3B"/>
    <w:rsid w:val="00485AB9"/>
    <w:rsid w:val="0049071A"/>
    <w:rsid w:val="00490965"/>
    <w:rsid w:val="00493396"/>
    <w:rsid w:val="00493870"/>
    <w:rsid w:val="00493E40"/>
    <w:rsid w:val="00494695"/>
    <w:rsid w:val="00494BC8"/>
    <w:rsid w:val="00495AEF"/>
    <w:rsid w:val="00496031"/>
    <w:rsid w:val="00496F83"/>
    <w:rsid w:val="0049743A"/>
    <w:rsid w:val="00497538"/>
    <w:rsid w:val="004A00FA"/>
    <w:rsid w:val="004A0708"/>
    <w:rsid w:val="004A0D7F"/>
    <w:rsid w:val="004A1E8B"/>
    <w:rsid w:val="004A2182"/>
    <w:rsid w:val="004A30F5"/>
    <w:rsid w:val="004A383C"/>
    <w:rsid w:val="004A3908"/>
    <w:rsid w:val="004A3B47"/>
    <w:rsid w:val="004A4A05"/>
    <w:rsid w:val="004A522B"/>
    <w:rsid w:val="004A5407"/>
    <w:rsid w:val="004A54BF"/>
    <w:rsid w:val="004A56D5"/>
    <w:rsid w:val="004A5C7F"/>
    <w:rsid w:val="004A6E05"/>
    <w:rsid w:val="004A7924"/>
    <w:rsid w:val="004B02EF"/>
    <w:rsid w:val="004B0398"/>
    <w:rsid w:val="004B0997"/>
    <w:rsid w:val="004B127D"/>
    <w:rsid w:val="004B12E8"/>
    <w:rsid w:val="004B3041"/>
    <w:rsid w:val="004B4529"/>
    <w:rsid w:val="004B59FE"/>
    <w:rsid w:val="004B6768"/>
    <w:rsid w:val="004B6BD8"/>
    <w:rsid w:val="004C0E0C"/>
    <w:rsid w:val="004C114C"/>
    <w:rsid w:val="004C38B5"/>
    <w:rsid w:val="004C4294"/>
    <w:rsid w:val="004C43D9"/>
    <w:rsid w:val="004C552C"/>
    <w:rsid w:val="004C5578"/>
    <w:rsid w:val="004C5CC8"/>
    <w:rsid w:val="004C7470"/>
    <w:rsid w:val="004D016A"/>
    <w:rsid w:val="004D05ED"/>
    <w:rsid w:val="004D0BBF"/>
    <w:rsid w:val="004D3792"/>
    <w:rsid w:val="004D3B31"/>
    <w:rsid w:val="004D52A3"/>
    <w:rsid w:val="004D5DF2"/>
    <w:rsid w:val="004D5E6A"/>
    <w:rsid w:val="004D627A"/>
    <w:rsid w:val="004D63B2"/>
    <w:rsid w:val="004D673E"/>
    <w:rsid w:val="004D7275"/>
    <w:rsid w:val="004D77FF"/>
    <w:rsid w:val="004D7E40"/>
    <w:rsid w:val="004E0C87"/>
    <w:rsid w:val="004E1022"/>
    <w:rsid w:val="004E1D41"/>
    <w:rsid w:val="004E2C23"/>
    <w:rsid w:val="004E4AC3"/>
    <w:rsid w:val="004E5502"/>
    <w:rsid w:val="004E5C73"/>
    <w:rsid w:val="004E75A2"/>
    <w:rsid w:val="004F0683"/>
    <w:rsid w:val="004F0986"/>
    <w:rsid w:val="004F1EB6"/>
    <w:rsid w:val="004F1FE2"/>
    <w:rsid w:val="004F237E"/>
    <w:rsid w:val="004F24A9"/>
    <w:rsid w:val="004F2C90"/>
    <w:rsid w:val="004F302E"/>
    <w:rsid w:val="004F371A"/>
    <w:rsid w:val="004F4D59"/>
    <w:rsid w:val="004F4DD0"/>
    <w:rsid w:val="004F6CD8"/>
    <w:rsid w:val="004F7BC4"/>
    <w:rsid w:val="005004AC"/>
    <w:rsid w:val="005005C4"/>
    <w:rsid w:val="00500C99"/>
    <w:rsid w:val="00501035"/>
    <w:rsid w:val="00501E1F"/>
    <w:rsid w:val="00501F9D"/>
    <w:rsid w:val="0050346C"/>
    <w:rsid w:val="0050379E"/>
    <w:rsid w:val="00503D7A"/>
    <w:rsid w:val="00503E6D"/>
    <w:rsid w:val="00506409"/>
    <w:rsid w:val="005074A7"/>
    <w:rsid w:val="00507907"/>
    <w:rsid w:val="00507D50"/>
    <w:rsid w:val="00510176"/>
    <w:rsid w:val="00511A6A"/>
    <w:rsid w:val="00511F59"/>
    <w:rsid w:val="00512578"/>
    <w:rsid w:val="005127DD"/>
    <w:rsid w:val="005135FA"/>
    <w:rsid w:val="00513778"/>
    <w:rsid w:val="00516112"/>
    <w:rsid w:val="00516E27"/>
    <w:rsid w:val="0051798D"/>
    <w:rsid w:val="00520543"/>
    <w:rsid w:val="00521DDA"/>
    <w:rsid w:val="0052423B"/>
    <w:rsid w:val="00526A99"/>
    <w:rsid w:val="005304B1"/>
    <w:rsid w:val="005320CB"/>
    <w:rsid w:val="00532859"/>
    <w:rsid w:val="00533FEA"/>
    <w:rsid w:val="00535859"/>
    <w:rsid w:val="005366F8"/>
    <w:rsid w:val="005377E5"/>
    <w:rsid w:val="00537C20"/>
    <w:rsid w:val="0054055B"/>
    <w:rsid w:val="005405D1"/>
    <w:rsid w:val="00540846"/>
    <w:rsid w:val="00540A99"/>
    <w:rsid w:val="00541541"/>
    <w:rsid w:val="0054172A"/>
    <w:rsid w:val="00542079"/>
    <w:rsid w:val="00542475"/>
    <w:rsid w:val="00542F83"/>
    <w:rsid w:val="005432A6"/>
    <w:rsid w:val="00545918"/>
    <w:rsid w:val="005508EB"/>
    <w:rsid w:val="00551E5A"/>
    <w:rsid w:val="00553134"/>
    <w:rsid w:val="0055408F"/>
    <w:rsid w:val="00556233"/>
    <w:rsid w:val="00556673"/>
    <w:rsid w:val="00556B32"/>
    <w:rsid w:val="00556FEE"/>
    <w:rsid w:val="005579D7"/>
    <w:rsid w:val="005607CC"/>
    <w:rsid w:val="005621F2"/>
    <w:rsid w:val="0056623C"/>
    <w:rsid w:val="0056741B"/>
    <w:rsid w:val="00567484"/>
    <w:rsid w:val="00570BD1"/>
    <w:rsid w:val="005720BB"/>
    <w:rsid w:val="00573C15"/>
    <w:rsid w:val="00573ED8"/>
    <w:rsid w:val="00574690"/>
    <w:rsid w:val="00575F56"/>
    <w:rsid w:val="00576BCA"/>
    <w:rsid w:val="00577A7E"/>
    <w:rsid w:val="005800F5"/>
    <w:rsid w:val="00580864"/>
    <w:rsid w:val="0058199F"/>
    <w:rsid w:val="00582BDC"/>
    <w:rsid w:val="00584296"/>
    <w:rsid w:val="00585A5F"/>
    <w:rsid w:val="005871CF"/>
    <w:rsid w:val="00591654"/>
    <w:rsid w:val="0059244B"/>
    <w:rsid w:val="00592ACA"/>
    <w:rsid w:val="005940AE"/>
    <w:rsid w:val="005946C3"/>
    <w:rsid w:val="00594E32"/>
    <w:rsid w:val="005A01CA"/>
    <w:rsid w:val="005A07D2"/>
    <w:rsid w:val="005A0A68"/>
    <w:rsid w:val="005A21BA"/>
    <w:rsid w:val="005A2A10"/>
    <w:rsid w:val="005A3B6A"/>
    <w:rsid w:val="005A4358"/>
    <w:rsid w:val="005A43BA"/>
    <w:rsid w:val="005A692C"/>
    <w:rsid w:val="005A6A60"/>
    <w:rsid w:val="005A6C01"/>
    <w:rsid w:val="005B02B9"/>
    <w:rsid w:val="005B02E3"/>
    <w:rsid w:val="005B0412"/>
    <w:rsid w:val="005B170A"/>
    <w:rsid w:val="005B1D1E"/>
    <w:rsid w:val="005B2335"/>
    <w:rsid w:val="005B23E9"/>
    <w:rsid w:val="005B24BE"/>
    <w:rsid w:val="005B3178"/>
    <w:rsid w:val="005B397B"/>
    <w:rsid w:val="005B4501"/>
    <w:rsid w:val="005B4E64"/>
    <w:rsid w:val="005B571B"/>
    <w:rsid w:val="005B5E61"/>
    <w:rsid w:val="005C027D"/>
    <w:rsid w:val="005C02F1"/>
    <w:rsid w:val="005C0C45"/>
    <w:rsid w:val="005C1A14"/>
    <w:rsid w:val="005C2302"/>
    <w:rsid w:val="005C37BF"/>
    <w:rsid w:val="005C430D"/>
    <w:rsid w:val="005C4CC4"/>
    <w:rsid w:val="005C6AAE"/>
    <w:rsid w:val="005C7162"/>
    <w:rsid w:val="005D09D1"/>
    <w:rsid w:val="005D1A72"/>
    <w:rsid w:val="005D4884"/>
    <w:rsid w:val="005D4A01"/>
    <w:rsid w:val="005D59B9"/>
    <w:rsid w:val="005D5F18"/>
    <w:rsid w:val="005D657C"/>
    <w:rsid w:val="005D67D7"/>
    <w:rsid w:val="005D6BAC"/>
    <w:rsid w:val="005D734B"/>
    <w:rsid w:val="005D7C6E"/>
    <w:rsid w:val="005E0E73"/>
    <w:rsid w:val="005E2BAF"/>
    <w:rsid w:val="005E3614"/>
    <w:rsid w:val="005E37AB"/>
    <w:rsid w:val="005E4CCD"/>
    <w:rsid w:val="005E526C"/>
    <w:rsid w:val="005E5590"/>
    <w:rsid w:val="005E72E7"/>
    <w:rsid w:val="005F0926"/>
    <w:rsid w:val="005F1014"/>
    <w:rsid w:val="005F18D2"/>
    <w:rsid w:val="005F363A"/>
    <w:rsid w:val="005F723D"/>
    <w:rsid w:val="005F7B06"/>
    <w:rsid w:val="006004C2"/>
    <w:rsid w:val="00602082"/>
    <w:rsid w:val="00602899"/>
    <w:rsid w:val="00602E78"/>
    <w:rsid w:val="00602F8C"/>
    <w:rsid w:val="0060340A"/>
    <w:rsid w:val="00605D2C"/>
    <w:rsid w:val="00605D7D"/>
    <w:rsid w:val="00606D48"/>
    <w:rsid w:val="00610259"/>
    <w:rsid w:val="00610AB5"/>
    <w:rsid w:val="00610CD3"/>
    <w:rsid w:val="00611FEE"/>
    <w:rsid w:val="006122A6"/>
    <w:rsid w:val="00612600"/>
    <w:rsid w:val="00613859"/>
    <w:rsid w:val="0061536B"/>
    <w:rsid w:val="006179E2"/>
    <w:rsid w:val="00621F4A"/>
    <w:rsid w:val="00622822"/>
    <w:rsid w:val="00623C91"/>
    <w:rsid w:val="00624ADD"/>
    <w:rsid w:val="0062589E"/>
    <w:rsid w:val="00625DC1"/>
    <w:rsid w:val="00625DD3"/>
    <w:rsid w:val="00627A06"/>
    <w:rsid w:val="00627BCE"/>
    <w:rsid w:val="00630FB4"/>
    <w:rsid w:val="00631517"/>
    <w:rsid w:val="00632427"/>
    <w:rsid w:val="00632DB9"/>
    <w:rsid w:val="00633440"/>
    <w:rsid w:val="0063435E"/>
    <w:rsid w:val="00634E82"/>
    <w:rsid w:val="00635808"/>
    <w:rsid w:val="00636263"/>
    <w:rsid w:val="00636867"/>
    <w:rsid w:val="00636919"/>
    <w:rsid w:val="00636D80"/>
    <w:rsid w:val="00640589"/>
    <w:rsid w:val="00642D8F"/>
    <w:rsid w:val="00643BE7"/>
    <w:rsid w:val="00644508"/>
    <w:rsid w:val="00644672"/>
    <w:rsid w:val="00646C8F"/>
    <w:rsid w:val="00646CFE"/>
    <w:rsid w:val="00646FD3"/>
    <w:rsid w:val="006505C2"/>
    <w:rsid w:val="00651859"/>
    <w:rsid w:val="00652953"/>
    <w:rsid w:val="00652D47"/>
    <w:rsid w:val="00652D70"/>
    <w:rsid w:val="00652F46"/>
    <w:rsid w:val="006557C7"/>
    <w:rsid w:val="006626A9"/>
    <w:rsid w:val="00662E3C"/>
    <w:rsid w:val="0066359A"/>
    <w:rsid w:val="00663DE4"/>
    <w:rsid w:val="00664421"/>
    <w:rsid w:val="00664CB2"/>
    <w:rsid w:val="00665087"/>
    <w:rsid w:val="0066632D"/>
    <w:rsid w:val="0066674F"/>
    <w:rsid w:val="006678E6"/>
    <w:rsid w:val="0067075C"/>
    <w:rsid w:val="00671766"/>
    <w:rsid w:val="006718BC"/>
    <w:rsid w:val="00672171"/>
    <w:rsid w:val="00674B40"/>
    <w:rsid w:val="00676095"/>
    <w:rsid w:val="0067633D"/>
    <w:rsid w:val="00676916"/>
    <w:rsid w:val="00676AE9"/>
    <w:rsid w:val="00677063"/>
    <w:rsid w:val="00680688"/>
    <w:rsid w:val="00680910"/>
    <w:rsid w:val="00680F1D"/>
    <w:rsid w:val="00681172"/>
    <w:rsid w:val="0068330F"/>
    <w:rsid w:val="00683446"/>
    <w:rsid w:val="006856DE"/>
    <w:rsid w:val="00685E23"/>
    <w:rsid w:val="006867DD"/>
    <w:rsid w:val="00687286"/>
    <w:rsid w:val="006878D6"/>
    <w:rsid w:val="00690247"/>
    <w:rsid w:val="0069270C"/>
    <w:rsid w:val="00692928"/>
    <w:rsid w:val="006935FF"/>
    <w:rsid w:val="006938B6"/>
    <w:rsid w:val="00694669"/>
    <w:rsid w:val="006948AE"/>
    <w:rsid w:val="00695197"/>
    <w:rsid w:val="0069663F"/>
    <w:rsid w:val="00697CAF"/>
    <w:rsid w:val="006A00B0"/>
    <w:rsid w:val="006A1441"/>
    <w:rsid w:val="006A29C3"/>
    <w:rsid w:val="006A344F"/>
    <w:rsid w:val="006A416F"/>
    <w:rsid w:val="006A4516"/>
    <w:rsid w:val="006A4E49"/>
    <w:rsid w:val="006A4F04"/>
    <w:rsid w:val="006A6F75"/>
    <w:rsid w:val="006B1AA7"/>
    <w:rsid w:val="006B3579"/>
    <w:rsid w:val="006B427F"/>
    <w:rsid w:val="006B51FA"/>
    <w:rsid w:val="006B521B"/>
    <w:rsid w:val="006B5482"/>
    <w:rsid w:val="006B5F01"/>
    <w:rsid w:val="006B6030"/>
    <w:rsid w:val="006B60A1"/>
    <w:rsid w:val="006B64E2"/>
    <w:rsid w:val="006B6CCA"/>
    <w:rsid w:val="006B7C46"/>
    <w:rsid w:val="006C037B"/>
    <w:rsid w:val="006C0493"/>
    <w:rsid w:val="006C09F1"/>
    <w:rsid w:val="006C11BF"/>
    <w:rsid w:val="006C3126"/>
    <w:rsid w:val="006C3EAE"/>
    <w:rsid w:val="006C3F67"/>
    <w:rsid w:val="006C4664"/>
    <w:rsid w:val="006C493F"/>
    <w:rsid w:val="006C4C6A"/>
    <w:rsid w:val="006C4FD4"/>
    <w:rsid w:val="006C618E"/>
    <w:rsid w:val="006C625C"/>
    <w:rsid w:val="006C71A1"/>
    <w:rsid w:val="006D02A1"/>
    <w:rsid w:val="006D148B"/>
    <w:rsid w:val="006D1FCC"/>
    <w:rsid w:val="006D2215"/>
    <w:rsid w:val="006D2A8A"/>
    <w:rsid w:val="006D2BE0"/>
    <w:rsid w:val="006D2E04"/>
    <w:rsid w:val="006D3E1F"/>
    <w:rsid w:val="006D482D"/>
    <w:rsid w:val="006D59FA"/>
    <w:rsid w:val="006D5BD0"/>
    <w:rsid w:val="006D654F"/>
    <w:rsid w:val="006E2544"/>
    <w:rsid w:val="006E2C56"/>
    <w:rsid w:val="006E407B"/>
    <w:rsid w:val="006E5545"/>
    <w:rsid w:val="006E602A"/>
    <w:rsid w:val="006E65A2"/>
    <w:rsid w:val="006E74A3"/>
    <w:rsid w:val="006F0DD5"/>
    <w:rsid w:val="006F2064"/>
    <w:rsid w:val="006F24CE"/>
    <w:rsid w:val="006F34DA"/>
    <w:rsid w:val="006F367D"/>
    <w:rsid w:val="006F3ADD"/>
    <w:rsid w:val="006F4222"/>
    <w:rsid w:val="006F42E4"/>
    <w:rsid w:val="006F5FB1"/>
    <w:rsid w:val="006F64C6"/>
    <w:rsid w:val="006F7B7A"/>
    <w:rsid w:val="00700CC0"/>
    <w:rsid w:val="00702113"/>
    <w:rsid w:val="00703F9A"/>
    <w:rsid w:val="00704DD1"/>
    <w:rsid w:val="00707018"/>
    <w:rsid w:val="0070734F"/>
    <w:rsid w:val="00710559"/>
    <w:rsid w:val="00711B9B"/>
    <w:rsid w:val="00711F07"/>
    <w:rsid w:val="00712C77"/>
    <w:rsid w:val="007137C4"/>
    <w:rsid w:val="007139F1"/>
    <w:rsid w:val="00714090"/>
    <w:rsid w:val="00714644"/>
    <w:rsid w:val="007160BC"/>
    <w:rsid w:val="0071631E"/>
    <w:rsid w:val="007168F6"/>
    <w:rsid w:val="00716D03"/>
    <w:rsid w:val="00717018"/>
    <w:rsid w:val="007179B6"/>
    <w:rsid w:val="00720F99"/>
    <w:rsid w:val="00722096"/>
    <w:rsid w:val="00722E08"/>
    <w:rsid w:val="007236DD"/>
    <w:rsid w:val="00723D5B"/>
    <w:rsid w:val="00723E30"/>
    <w:rsid w:val="00725718"/>
    <w:rsid w:val="00726497"/>
    <w:rsid w:val="007318A2"/>
    <w:rsid w:val="00731C67"/>
    <w:rsid w:val="007320A4"/>
    <w:rsid w:val="00732562"/>
    <w:rsid w:val="00732BD8"/>
    <w:rsid w:val="007330D8"/>
    <w:rsid w:val="00735117"/>
    <w:rsid w:val="007358AA"/>
    <w:rsid w:val="00735AFA"/>
    <w:rsid w:val="007374EE"/>
    <w:rsid w:val="00737A49"/>
    <w:rsid w:val="00737BF4"/>
    <w:rsid w:val="00740451"/>
    <w:rsid w:val="00740C17"/>
    <w:rsid w:val="00740F58"/>
    <w:rsid w:val="0074188D"/>
    <w:rsid w:val="00741E31"/>
    <w:rsid w:val="00743AAC"/>
    <w:rsid w:val="0074471F"/>
    <w:rsid w:val="0074648A"/>
    <w:rsid w:val="007472CC"/>
    <w:rsid w:val="00747A0A"/>
    <w:rsid w:val="00750E7E"/>
    <w:rsid w:val="00751858"/>
    <w:rsid w:val="00751E19"/>
    <w:rsid w:val="0075363A"/>
    <w:rsid w:val="007549F1"/>
    <w:rsid w:val="007554EE"/>
    <w:rsid w:val="00755BA2"/>
    <w:rsid w:val="007566AD"/>
    <w:rsid w:val="00756CC5"/>
    <w:rsid w:val="007610F7"/>
    <w:rsid w:val="00761214"/>
    <w:rsid w:val="00761508"/>
    <w:rsid w:val="00761846"/>
    <w:rsid w:val="00761981"/>
    <w:rsid w:val="00762247"/>
    <w:rsid w:val="007625B4"/>
    <w:rsid w:val="00762902"/>
    <w:rsid w:val="00762CEA"/>
    <w:rsid w:val="00762DED"/>
    <w:rsid w:val="00766F40"/>
    <w:rsid w:val="00767EDD"/>
    <w:rsid w:val="007702F8"/>
    <w:rsid w:val="00771739"/>
    <w:rsid w:val="007723E3"/>
    <w:rsid w:val="007725A9"/>
    <w:rsid w:val="00772A3A"/>
    <w:rsid w:val="00774956"/>
    <w:rsid w:val="00774B2C"/>
    <w:rsid w:val="007751AF"/>
    <w:rsid w:val="00775413"/>
    <w:rsid w:val="00775CD6"/>
    <w:rsid w:val="00775E15"/>
    <w:rsid w:val="00780326"/>
    <w:rsid w:val="00782DC5"/>
    <w:rsid w:val="00783F3C"/>
    <w:rsid w:val="007848B9"/>
    <w:rsid w:val="00786772"/>
    <w:rsid w:val="007900E0"/>
    <w:rsid w:val="007901FF"/>
    <w:rsid w:val="00790847"/>
    <w:rsid w:val="00790DA0"/>
    <w:rsid w:val="00792B46"/>
    <w:rsid w:val="007935AE"/>
    <w:rsid w:val="00793BB6"/>
    <w:rsid w:val="00794A91"/>
    <w:rsid w:val="00794D55"/>
    <w:rsid w:val="00795976"/>
    <w:rsid w:val="007A0D4A"/>
    <w:rsid w:val="007A19CD"/>
    <w:rsid w:val="007A1C0E"/>
    <w:rsid w:val="007A2C28"/>
    <w:rsid w:val="007A355C"/>
    <w:rsid w:val="007A3A58"/>
    <w:rsid w:val="007A416B"/>
    <w:rsid w:val="007A4334"/>
    <w:rsid w:val="007A48BC"/>
    <w:rsid w:val="007A4A0B"/>
    <w:rsid w:val="007A4B2D"/>
    <w:rsid w:val="007A67FA"/>
    <w:rsid w:val="007B3145"/>
    <w:rsid w:val="007B429F"/>
    <w:rsid w:val="007B5D64"/>
    <w:rsid w:val="007B631B"/>
    <w:rsid w:val="007B6A3E"/>
    <w:rsid w:val="007B7920"/>
    <w:rsid w:val="007C0B8A"/>
    <w:rsid w:val="007C12B8"/>
    <w:rsid w:val="007C4AD9"/>
    <w:rsid w:val="007C5353"/>
    <w:rsid w:val="007C5CF4"/>
    <w:rsid w:val="007C6B05"/>
    <w:rsid w:val="007D005B"/>
    <w:rsid w:val="007D07FA"/>
    <w:rsid w:val="007D0E49"/>
    <w:rsid w:val="007D190A"/>
    <w:rsid w:val="007D191F"/>
    <w:rsid w:val="007D1ACE"/>
    <w:rsid w:val="007D5FBE"/>
    <w:rsid w:val="007D6CA7"/>
    <w:rsid w:val="007D7638"/>
    <w:rsid w:val="007D7B85"/>
    <w:rsid w:val="007E0047"/>
    <w:rsid w:val="007E2419"/>
    <w:rsid w:val="007E523A"/>
    <w:rsid w:val="007E5336"/>
    <w:rsid w:val="007E56F3"/>
    <w:rsid w:val="007E64F1"/>
    <w:rsid w:val="007E7619"/>
    <w:rsid w:val="007E7653"/>
    <w:rsid w:val="007F03EC"/>
    <w:rsid w:val="007F13B1"/>
    <w:rsid w:val="007F2099"/>
    <w:rsid w:val="007F2C73"/>
    <w:rsid w:val="007F3185"/>
    <w:rsid w:val="007F43B7"/>
    <w:rsid w:val="007F4BE3"/>
    <w:rsid w:val="007F4D0B"/>
    <w:rsid w:val="007F58A6"/>
    <w:rsid w:val="007F6395"/>
    <w:rsid w:val="007F6FDE"/>
    <w:rsid w:val="007F74C7"/>
    <w:rsid w:val="007F7752"/>
    <w:rsid w:val="007F7AAF"/>
    <w:rsid w:val="00800E30"/>
    <w:rsid w:val="00803FE3"/>
    <w:rsid w:val="008040A1"/>
    <w:rsid w:val="00805248"/>
    <w:rsid w:val="008059BB"/>
    <w:rsid w:val="00805C93"/>
    <w:rsid w:val="00812E0E"/>
    <w:rsid w:val="008150F6"/>
    <w:rsid w:val="00815301"/>
    <w:rsid w:val="00815F91"/>
    <w:rsid w:val="00816046"/>
    <w:rsid w:val="0081771B"/>
    <w:rsid w:val="00817D37"/>
    <w:rsid w:val="00820524"/>
    <w:rsid w:val="00821847"/>
    <w:rsid w:val="008218E6"/>
    <w:rsid w:val="0082291D"/>
    <w:rsid w:val="00822B33"/>
    <w:rsid w:val="0082603C"/>
    <w:rsid w:val="00826F4A"/>
    <w:rsid w:val="00827DE8"/>
    <w:rsid w:val="008305EE"/>
    <w:rsid w:val="00831447"/>
    <w:rsid w:val="008321A9"/>
    <w:rsid w:val="00833271"/>
    <w:rsid w:val="00833AEF"/>
    <w:rsid w:val="0083421C"/>
    <w:rsid w:val="00834759"/>
    <w:rsid w:val="00834906"/>
    <w:rsid w:val="00835D6B"/>
    <w:rsid w:val="00836800"/>
    <w:rsid w:val="008369E0"/>
    <w:rsid w:val="008401A4"/>
    <w:rsid w:val="00840A30"/>
    <w:rsid w:val="00842064"/>
    <w:rsid w:val="008425C8"/>
    <w:rsid w:val="00842FC6"/>
    <w:rsid w:val="00846C2B"/>
    <w:rsid w:val="00846DAA"/>
    <w:rsid w:val="00847725"/>
    <w:rsid w:val="00847F0B"/>
    <w:rsid w:val="00847FD7"/>
    <w:rsid w:val="00850802"/>
    <w:rsid w:val="008509F9"/>
    <w:rsid w:val="00850C1C"/>
    <w:rsid w:val="00850CBC"/>
    <w:rsid w:val="008510D8"/>
    <w:rsid w:val="00851D1C"/>
    <w:rsid w:val="00852B2B"/>
    <w:rsid w:val="0085344B"/>
    <w:rsid w:val="00856902"/>
    <w:rsid w:val="00856AD8"/>
    <w:rsid w:val="0085767E"/>
    <w:rsid w:val="0085792D"/>
    <w:rsid w:val="00861860"/>
    <w:rsid w:val="00862177"/>
    <w:rsid w:val="00866367"/>
    <w:rsid w:val="0086678F"/>
    <w:rsid w:val="0086737F"/>
    <w:rsid w:val="00872D08"/>
    <w:rsid w:val="008733D0"/>
    <w:rsid w:val="00873671"/>
    <w:rsid w:val="00874D04"/>
    <w:rsid w:val="0087528C"/>
    <w:rsid w:val="0087547C"/>
    <w:rsid w:val="00875B93"/>
    <w:rsid w:val="008771BC"/>
    <w:rsid w:val="00877766"/>
    <w:rsid w:val="008778BE"/>
    <w:rsid w:val="00877918"/>
    <w:rsid w:val="008811FD"/>
    <w:rsid w:val="00882025"/>
    <w:rsid w:val="00882C30"/>
    <w:rsid w:val="00883730"/>
    <w:rsid w:val="008841C7"/>
    <w:rsid w:val="0088541D"/>
    <w:rsid w:val="008854D0"/>
    <w:rsid w:val="00886A3E"/>
    <w:rsid w:val="008877D2"/>
    <w:rsid w:val="00887F18"/>
    <w:rsid w:val="00891B6B"/>
    <w:rsid w:val="008948D6"/>
    <w:rsid w:val="00895566"/>
    <w:rsid w:val="00897608"/>
    <w:rsid w:val="008A163F"/>
    <w:rsid w:val="008A31BC"/>
    <w:rsid w:val="008A321F"/>
    <w:rsid w:val="008A36A0"/>
    <w:rsid w:val="008A377B"/>
    <w:rsid w:val="008A37CA"/>
    <w:rsid w:val="008A6335"/>
    <w:rsid w:val="008B17F9"/>
    <w:rsid w:val="008B1AE0"/>
    <w:rsid w:val="008B3C7C"/>
    <w:rsid w:val="008B4474"/>
    <w:rsid w:val="008B50C4"/>
    <w:rsid w:val="008B51B7"/>
    <w:rsid w:val="008B53E2"/>
    <w:rsid w:val="008B6C1F"/>
    <w:rsid w:val="008B7AEC"/>
    <w:rsid w:val="008C1A1B"/>
    <w:rsid w:val="008C24DD"/>
    <w:rsid w:val="008C455D"/>
    <w:rsid w:val="008C4DB4"/>
    <w:rsid w:val="008C52ED"/>
    <w:rsid w:val="008C5E33"/>
    <w:rsid w:val="008C6FEE"/>
    <w:rsid w:val="008D0271"/>
    <w:rsid w:val="008D0FC9"/>
    <w:rsid w:val="008D14BA"/>
    <w:rsid w:val="008D2109"/>
    <w:rsid w:val="008D34BD"/>
    <w:rsid w:val="008D3A4E"/>
    <w:rsid w:val="008D4048"/>
    <w:rsid w:val="008D4105"/>
    <w:rsid w:val="008D434B"/>
    <w:rsid w:val="008D495B"/>
    <w:rsid w:val="008D5B40"/>
    <w:rsid w:val="008D5D6F"/>
    <w:rsid w:val="008D62B4"/>
    <w:rsid w:val="008D7B74"/>
    <w:rsid w:val="008E2278"/>
    <w:rsid w:val="008E2302"/>
    <w:rsid w:val="008E2955"/>
    <w:rsid w:val="008E2F16"/>
    <w:rsid w:val="008E51D7"/>
    <w:rsid w:val="008E63EC"/>
    <w:rsid w:val="008E663B"/>
    <w:rsid w:val="008E74ED"/>
    <w:rsid w:val="008F0302"/>
    <w:rsid w:val="008F1949"/>
    <w:rsid w:val="008F2084"/>
    <w:rsid w:val="008F240C"/>
    <w:rsid w:val="008F3776"/>
    <w:rsid w:val="008F3BB9"/>
    <w:rsid w:val="008F404F"/>
    <w:rsid w:val="008F4312"/>
    <w:rsid w:val="008F474C"/>
    <w:rsid w:val="008F65AA"/>
    <w:rsid w:val="008F7C48"/>
    <w:rsid w:val="00900B71"/>
    <w:rsid w:val="0090106B"/>
    <w:rsid w:val="00901900"/>
    <w:rsid w:val="00901A47"/>
    <w:rsid w:val="0090202C"/>
    <w:rsid w:val="009032A9"/>
    <w:rsid w:val="009045F3"/>
    <w:rsid w:val="00904B7A"/>
    <w:rsid w:val="00905408"/>
    <w:rsid w:val="009062E0"/>
    <w:rsid w:val="00906D2F"/>
    <w:rsid w:val="00906E20"/>
    <w:rsid w:val="00910932"/>
    <w:rsid w:val="00910D67"/>
    <w:rsid w:val="00911ECF"/>
    <w:rsid w:val="009120D2"/>
    <w:rsid w:val="0091235C"/>
    <w:rsid w:val="00912EA9"/>
    <w:rsid w:val="009136FE"/>
    <w:rsid w:val="00914289"/>
    <w:rsid w:val="00915821"/>
    <w:rsid w:val="009158AB"/>
    <w:rsid w:val="00915F12"/>
    <w:rsid w:val="00915F67"/>
    <w:rsid w:val="00922C8F"/>
    <w:rsid w:val="00922D30"/>
    <w:rsid w:val="00925CFC"/>
    <w:rsid w:val="00930278"/>
    <w:rsid w:val="00930648"/>
    <w:rsid w:val="0093082B"/>
    <w:rsid w:val="0093251E"/>
    <w:rsid w:val="009328A7"/>
    <w:rsid w:val="0093486E"/>
    <w:rsid w:val="00935404"/>
    <w:rsid w:val="009419BC"/>
    <w:rsid w:val="009441FC"/>
    <w:rsid w:val="0094507F"/>
    <w:rsid w:val="009470D3"/>
    <w:rsid w:val="009473E4"/>
    <w:rsid w:val="00950C7A"/>
    <w:rsid w:val="00951993"/>
    <w:rsid w:val="009530D5"/>
    <w:rsid w:val="009537D7"/>
    <w:rsid w:val="00954016"/>
    <w:rsid w:val="00956C94"/>
    <w:rsid w:val="00957264"/>
    <w:rsid w:val="00962862"/>
    <w:rsid w:val="00963BA9"/>
    <w:rsid w:val="0096410D"/>
    <w:rsid w:val="00966D01"/>
    <w:rsid w:val="00967A50"/>
    <w:rsid w:val="00967BC5"/>
    <w:rsid w:val="0097288D"/>
    <w:rsid w:val="00973918"/>
    <w:rsid w:val="00975066"/>
    <w:rsid w:val="009754F5"/>
    <w:rsid w:val="00976865"/>
    <w:rsid w:val="009773DA"/>
    <w:rsid w:val="00980DC4"/>
    <w:rsid w:val="00980E00"/>
    <w:rsid w:val="00982F97"/>
    <w:rsid w:val="009831EC"/>
    <w:rsid w:val="009864EC"/>
    <w:rsid w:val="0098788A"/>
    <w:rsid w:val="00987F13"/>
    <w:rsid w:val="00990750"/>
    <w:rsid w:val="00990CDC"/>
    <w:rsid w:val="00990D06"/>
    <w:rsid w:val="00990D83"/>
    <w:rsid w:val="00992A1C"/>
    <w:rsid w:val="00992C61"/>
    <w:rsid w:val="0099432D"/>
    <w:rsid w:val="00994EED"/>
    <w:rsid w:val="00995E99"/>
    <w:rsid w:val="00996803"/>
    <w:rsid w:val="00996D02"/>
    <w:rsid w:val="009977E6"/>
    <w:rsid w:val="00997CCB"/>
    <w:rsid w:val="009A05E7"/>
    <w:rsid w:val="009A06C2"/>
    <w:rsid w:val="009A074C"/>
    <w:rsid w:val="009A09C9"/>
    <w:rsid w:val="009A0A92"/>
    <w:rsid w:val="009A0D9A"/>
    <w:rsid w:val="009A1037"/>
    <w:rsid w:val="009A2D50"/>
    <w:rsid w:val="009A2E11"/>
    <w:rsid w:val="009A3CD4"/>
    <w:rsid w:val="009A402C"/>
    <w:rsid w:val="009A420F"/>
    <w:rsid w:val="009A51A8"/>
    <w:rsid w:val="009A5723"/>
    <w:rsid w:val="009A5DAB"/>
    <w:rsid w:val="009A6E38"/>
    <w:rsid w:val="009A71B8"/>
    <w:rsid w:val="009A7AE3"/>
    <w:rsid w:val="009B1238"/>
    <w:rsid w:val="009B1391"/>
    <w:rsid w:val="009B1B56"/>
    <w:rsid w:val="009B1BC4"/>
    <w:rsid w:val="009B292A"/>
    <w:rsid w:val="009B35F1"/>
    <w:rsid w:val="009C1E1A"/>
    <w:rsid w:val="009C1FFB"/>
    <w:rsid w:val="009C2607"/>
    <w:rsid w:val="009C39EA"/>
    <w:rsid w:val="009C3E03"/>
    <w:rsid w:val="009C4056"/>
    <w:rsid w:val="009C4BBE"/>
    <w:rsid w:val="009C5DD3"/>
    <w:rsid w:val="009C63A5"/>
    <w:rsid w:val="009C6FBC"/>
    <w:rsid w:val="009D0655"/>
    <w:rsid w:val="009D070E"/>
    <w:rsid w:val="009D13AA"/>
    <w:rsid w:val="009D1A3A"/>
    <w:rsid w:val="009D1C55"/>
    <w:rsid w:val="009D26CA"/>
    <w:rsid w:val="009D599E"/>
    <w:rsid w:val="009D6307"/>
    <w:rsid w:val="009D7426"/>
    <w:rsid w:val="009E2436"/>
    <w:rsid w:val="009E2F02"/>
    <w:rsid w:val="009E34DA"/>
    <w:rsid w:val="009E3EA9"/>
    <w:rsid w:val="009E529C"/>
    <w:rsid w:val="009E6329"/>
    <w:rsid w:val="009E66D9"/>
    <w:rsid w:val="009E71D0"/>
    <w:rsid w:val="009E7730"/>
    <w:rsid w:val="009F2175"/>
    <w:rsid w:val="009F2C15"/>
    <w:rsid w:val="009F2E83"/>
    <w:rsid w:val="009F3C8A"/>
    <w:rsid w:val="009F5175"/>
    <w:rsid w:val="009F52A9"/>
    <w:rsid w:val="009F5AA9"/>
    <w:rsid w:val="009F5D8E"/>
    <w:rsid w:val="009F78FB"/>
    <w:rsid w:val="00A0155C"/>
    <w:rsid w:val="00A020C1"/>
    <w:rsid w:val="00A02193"/>
    <w:rsid w:val="00A026D0"/>
    <w:rsid w:val="00A029DD"/>
    <w:rsid w:val="00A02EB8"/>
    <w:rsid w:val="00A03185"/>
    <w:rsid w:val="00A042B6"/>
    <w:rsid w:val="00A0464C"/>
    <w:rsid w:val="00A046A7"/>
    <w:rsid w:val="00A0730F"/>
    <w:rsid w:val="00A075EC"/>
    <w:rsid w:val="00A07BFD"/>
    <w:rsid w:val="00A07D3E"/>
    <w:rsid w:val="00A111F2"/>
    <w:rsid w:val="00A11C40"/>
    <w:rsid w:val="00A1269F"/>
    <w:rsid w:val="00A13EF6"/>
    <w:rsid w:val="00A149C2"/>
    <w:rsid w:val="00A170BF"/>
    <w:rsid w:val="00A256E5"/>
    <w:rsid w:val="00A26B65"/>
    <w:rsid w:val="00A274E0"/>
    <w:rsid w:val="00A30268"/>
    <w:rsid w:val="00A3373E"/>
    <w:rsid w:val="00A337F7"/>
    <w:rsid w:val="00A33A7C"/>
    <w:rsid w:val="00A35412"/>
    <w:rsid w:val="00A35541"/>
    <w:rsid w:val="00A35938"/>
    <w:rsid w:val="00A36B15"/>
    <w:rsid w:val="00A36F14"/>
    <w:rsid w:val="00A406F0"/>
    <w:rsid w:val="00A427DC"/>
    <w:rsid w:val="00A430EB"/>
    <w:rsid w:val="00A4491F"/>
    <w:rsid w:val="00A47A2E"/>
    <w:rsid w:val="00A504C8"/>
    <w:rsid w:val="00A51016"/>
    <w:rsid w:val="00A51718"/>
    <w:rsid w:val="00A51748"/>
    <w:rsid w:val="00A517F5"/>
    <w:rsid w:val="00A52893"/>
    <w:rsid w:val="00A52B78"/>
    <w:rsid w:val="00A53F6F"/>
    <w:rsid w:val="00A544E0"/>
    <w:rsid w:val="00A549AF"/>
    <w:rsid w:val="00A54A16"/>
    <w:rsid w:val="00A553BE"/>
    <w:rsid w:val="00A55A7F"/>
    <w:rsid w:val="00A5650E"/>
    <w:rsid w:val="00A56D31"/>
    <w:rsid w:val="00A574EE"/>
    <w:rsid w:val="00A57533"/>
    <w:rsid w:val="00A60C05"/>
    <w:rsid w:val="00A611E6"/>
    <w:rsid w:val="00A62C64"/>
    <w:rsid w:val="00A63047"/>
    <w:rsid w:val="00A666A3"/>
    <w:rsid w:val="00A6762C"/>
    <w:rsid w:val="00A700A4"/>
    <w:rsid w:val="00A73A49"/>
    <w:rsid w:val="00A74020"/>
    <w:rsid w:val="00A74DA9"/>
    <w:rsid w:val="00A758DA"/>
    <w:rsid w:val="00A760A4"/>
    <w:rsid w:val="00A77247"/>
    <w:rsid w:val="00A77973"/>
    <w:rsid w:val="00A8053D"/>
    <w:rsid w:val="00A80821"/>
    <w:rsid w:val="00A82160"/>
    <w:rsid w:val="00A83727"/>
    <w:rsid w:val="00A84500"/>
    <w:rsid w:val="00A8553F"/>
    <w:rsid w:val="00A86724"/>
    <w:rsid w:val="00A86B5B"/>
    <w:rsid w:val="00A87E40"/>
    <w:rsid w:val="00A90632"/>
    <w:rsid w:val="00A90C04"/>
    <w:rsid w:val="00A9176B"/>
    <w:rsid w:val="00A918F0"/>
    <w:rsid w:val="00A92F55"/>
    <w:rsid w:val="00A960CA"/>
    <w:rsid w:val="00A971EE"/>
    <w:rsid w:val="00A979AC"/>
    <w:rsid w:val="00AA026F"/>
    <w:rsid w:val="00AA04D8"/>
    <w:rsid w:val="00AA0B0C"/>
    <w:rsid w:val="00AA12C8"/>
    <w:rsid w:val="00AA1AE2"/>
    <w:rsid w:val="00AA1E26"/>
    <w:rsid w:val="00AA75F5"/>
    <w:rsid w:val="00AB102C"/>
    <w:rsid w:val="00AB18B4"/>
    <w:rsid w:val="00AB2A5B"/>
    <w:rsid w:val="00AB35D4"/>
    <w:rsid w:val="00AB5985"/>
    <w:rsid w:val="00AB6A3D"/>
    <w:rsid w:val="00AB6B05"/>
    <w:rsid w:val="00AB7BF1"/>
    <w:rsid w:val="00AC04FE"/>
    <w:rsid w:val="00AC094C"/>
    <w:rsid w:val="00AC0A14"/>
    <w:rsid w:val="00AC0D7E"/>
    <w:rsid w:val="00AC2862"/>
    <w:rsid w:val="00AC2A0C"/>
    <w:rsid w:val="00AC3130"/>
    <w:rsid w:val="00AC319E"/>
    <w:rsid w:val="00AC484B"/>
    <w:rsid w:val="00AC4966"/>
    <w:rsid w:val="00AC707C"/>
    <w:rsid w:val="00AD03F8"/>
    <w:rsid w:val="00AD0C45"/>
    <w:rsid w:val="00AD131A"/>
    <w:rsid w:val="00AD1DE6"/>
    <w:rsid w:val="00AD30E9"/>
    <w:rsid w:val="00AD36B8"/>
    <w:rsid w:val="00AD44E5"/>
    <w:rsid w:val="00AD6E77"/>
    <w:rsid w:val="00AD7CE8"/>
    <w:rsid w:val="00AE0A0E"/>
    <w:rsid w:val="00AE0A3F"/>
    <w:rsid w:val="00AE0ADC"/>
    <w:rsid w:val="00AE3F6E"/>
    <w:rsid w:val="00AE485A"/>
    <w:rsid w:val="00AE485F"/>
    <w:rsid w:val="00AE50EC"/>
    <w:rsid w:val="00AE52C9"/>
    <w:rsid w:val="00AE52E5"/>
    <w:rsid w:val="00AE6C2A"/>
    <w:rsid w:val="00AE7A74"/>
    <w:rsid w:val="00AF17E4"/>
    <w:rsid w:val="00AF34E1"/>
    <w:rsid w:val="00AF3D83"/>
    <w:rsid w:val="00AF3EC9"/>
    <w:rsid w:val="00AF40EC"/>
    <w:rsid w:val="00AF41CE"/>
    <w:rsid w:val="00AF5ECC"/>
    <w:rsid w:val="00AF713F"/>
    <w:rsid w:val="00AF748D"/>
    <w:rsid w:val="00AF7B14"/>
    <w:rsid w:val="00AF7B65"/>
    <w:rsid w:val="00B0012F"/>
    <w:rsid w:val="00B004BF"/>
    <w:rsid w:val="00B01180"/>
    <w:rsid w:val="00B01B15"/>
    <w:rsid w:val="00B03548"/>
    <w:rsid w:val="00B03726"/>
    <w:rsid w:val="00B03785"/>
    <w:rsid w:val="00B03DAB"/>
    <w:rsid w:val="00B04DF5"/>
    <w:rsid w:val="00B06BCF"/>
    <w:rsid w:val="00B06DE7"/>
    <w:rsid w:val="00B10273"/>
    <w:rsid w:val="00B11547"/>
    <w:rsid w:val="00B13119"/>
    <w:rsid w:val="00B139C3"/>
    <w:rsid w:val="00B14C0B"/>
    <w:rsid w:val="00B16A5E"/>
    <w:rsid w:val="00B206EF"/>
    <w:rsid w:val="00B20798"/>
    <w:rsid w:val="00B208C2"/>
    <w:rsid w:val="00B20F6B"/>
    <w:rsid w:val="00B2238E"/>
    <w:rsid w:val="00B22C45"/>
    <w:rsid w:val="00B22C80"/>
    <w:rsid w:val="00B22F6E"/>
    <w:rsid w:val="00B22F7E"/>
    <w:rsid w:val="00B23ACB"/>
    <w:rsid w:val="00B23C6D"/>
    <w:rsid w:val="00B245D4"/>
    <w:rsid w:val="00B24A76"/>
    <w:rsid w:val="00B254B1"/>
    <w:rsid w:val="00B25891"/>
    <w:rsid w:val="00B309F2"/>
    <w:rsid w:val="00B31B2A"/>
    <w:rsid w:val="00B322A1"/>
    <w:rsid w:val="00B32373"/>
    <w:rsid w:val="00B3321A"/>
    <w:rsid w:val="00B33CB2"/>
    <w:rsid w:val="00B401FD"/>
    <w:rsid w:val="00B40D04"/>
    <w:rsid w:val="00B41348"/>
    <w:rsid w:val="00B41B82"/>
    <w:rsid w:val="00B4299C"/>
    <w:rsid w:val="00B42EFC"/>
    <w:rsid w:val="00B4512C"/>
    <w:rsid w:val="00B46717"/>
    <w:rsid w:val="00B46732"/>
    <w:rsid w:val="00B47EEC"/>
    <w:rsid w:val="00B5226C"/>
    <w:rsid w:val="00B5264B"/>
    <w:rsid w:val="00B54CD6"/>
    <w:rsid w:val="00B564D2"/>
    <w:rsid w:val="00B565E7"/>
    <w:rsid w:val="00B600A4"/>
    <w:rsid w:val="00B608D0"/>
    <w:rsid w:val="00B61335"/>
    <w:rsid w:val="00B627E6"/>
    <w:rsid w:val="00B63475"/>
    <w:rsid w:val="00B64C7B"/>
    <w:rsid w:val="00B67FCA"/>
    <w:rsid w:val="00B7029D"/>
    <w:rsid w:val="00B70F24"/>
    <w:rsid w:val="00B724C5"/>
    <w:rsid w:val="00B74F31"/>
    <w:rsid w:val="00B7712F"/>
    <w:rsid w:val="00B77545"/>
    <w:rsid w:val="00B77702"/>
    <w:rsid w:val="00B77CEF"/>
    <w:rsid w:val="00B81937"/>
    <w:rsid w:val="00B83B5A"/>
    <w:rsid w:val="00B84DF2"/>
    <w:rsid w:val="00B85AB3"/>
    <w:rsid w:val="00B85C9A"/>
    <w:rsid w:val="00B8667A"/>
    <w:rsid w:val="00B9041F"/>
    <w:rsid w:val="00B91133"/>
    <w:rsid w:val="00B913FB"/>
    <w:rsid w:val="00B91D28"/>
    <w:rsid w:val="00B929EE"/>
    <w:rsid w:val="00B959CF"/>
    <w:rsid w:val="00B97C7D"/>
    <w:rsid w:val="00BA0DD3"/>
    <w:rsid w:val="00BA11DF"/>
    <w:rsid w:val="00BA11E9"/>
    <w:rsid w:val="00BA124E"/>
    <w:rsid w:val="00BA2C40"/>
    <w:rsid w:val="00BA3570"/>
    <w:rsid w:val="00BA4588"/>
    <w:rsid w:val="00BA62DA"/>
    <w:rsid w:val="00BA70C1"/>
    <w:rsid w:val="00BA7CA4"/>
    <w:rsid w:val="00BB0152"/>
    <w:rsid w:val="00BB1640"/>
    <w:rsid w:val="00BB31B4"/>
    <w:rsid w:val="00BB3EE5"/>
    <w:rsid w:val="00BB4056"/>
    <w:rsid w:val="00BB5CEA"/>
    <w:rsid w:val="00BB66C1"/>
    <w:rsid w:val="00BC0FEA"/>
    <w:rsid w:val="00BC122D"/>
    <w:rsid w:val="00BC1A0B"/>
    <w:rsid w:val="00BC1D8A"/>
    <w:rsid w:val="00BC282F"/>
    <w:rsid w:val="00BC5336"/>
    <w:rsid w:val="00BC58DA"/>
    <w:rsid w:val="00BC63DD"/>
    <w:rsid w:val="00BC71FF"/>
    <w:rsid w:val="00BD1012"/>
    <w:rsid w:val="00BD1F49"/>
    <w:rsid w:val="00BD23CA"/>
    <w:rsid w:val="00BD3A32"/>
    <w:rsid w:val="00BD4296"/>
    <w:rsid w:val="00BD46E3"/>
    <w:rsid w:val="00BD497E"/>
    <w:rsid w:val="00BD4DF2"/>
    <w:rsid w:val="00BD5F8D"/>
    <w:rsid w:val="00BE2783"/>
    <w:rsid w:val="00BE3245"/>
    <w:rsid w:val="00BE691C"/>
    <w:rsid w:val="00BE6AE1"/>
    <w:rsid w:val="00BF1386"/>
    <w:rsid w:val="00BF1610"/>
    <w:rsid w:val="00BF199D"/>
    <w:rsid w:val="00BF2552"/>
    <w:rsid w:val="00BF27AF"/>
    <w:rsid w:val="00C00C6D"/>
    <w:rsid w:val="00C030A5"/>
    <w:rsid w:val="00C03B39"/>
    <w:rsid w:val="00C0517F"/>
    <w:rsid w:val="00C063C5"/>
    <w:rsid w:val="00C06C8E"/>
    <w:rsid w:val="00C06EE8"/>
    <w:rsid w:val="00C076AC"/>
    <w:rsid w:val="00C10024"/>
    <w:rsid w:val="00C11ACB"/>
    <w:rsid w:val="00C12185"/>
    <w:rsid w:val="00C12DAA"/>
    <w:rsid w:val="00C132E7"/>
    <w:rsid w:val="00C13360"/>
    <w:rsid w:val="00C1382F"/>
    <w:rsid w:val="00C13D4B"/>
    <w:rsid w:val="00C14138"/>
    <w:rsid w:val="00C147B6"/>
    <w:rsid w:val="00C16062"/>
    <w:rsid w:val="00C16E13"/>
    <w:rsid w:val="00C1731C"/>
    <w:rsid w:val="00C17685"/>
    <w:rsid w:val="00C17B56"/>
    <w:rsid w:val="00C17FA3"/>
    <w:rsid w:val="00C2093A"/>
    <w:rsid w:val="00C210F6"/>
    <w:rsid w:val="00C2248B"/>
    <w:rsid w:val="00C2259E"/>
    <w:rsid w:val="00C227A0"/>
    <w:rsid w:val="00C23023"/>
    <w:rsid w:val="00C23384"/>
    <w:rsid w:val="00C239FA"/>
    <w:rsid w:val="00C2457C"/>
    <w:rsid w:val="00C25175"/>
    <w:rsid w:val="00C257AA"/>
    <w:rsid w:val="00C2738A"/>
    <w:rsid w:val="00C27435"/>
    <w:rsid w:val="00C27E56"/>
    <w:rsid w:val="00C30DA7"/>
    <w:rsid w:val="00C323FE"/>
    <w:rsid w:val="00C32A1C"/>
    <w:rsid w:val="00C32B74"/>
    <w:rsid w:val="00C33F7D"/>
    <w:rsid w:val="00C347C1"/>
    <w:rsid w:val="00C350BF"/>
    <w:rsid w:val="00C360C3"/>
    <w:rsid w:val="00C37B8E"/>
    <w:rsid w:val="00C37C65"/>
    <w:rsid w:val="00C40570"/>
    <w:rsid w:val="00C4109A"/>
    <w:rsid w:val="00C41370"/>
    <w:rsid w:val="00C41569"/>
    <w:rsid w:val="00C42817"/>
    <w:rsid w:val="00C42A7E"/>
    <w:rsid w:val="00C42F67"/>
    <w:rsid w:val="00C433E3"/>
    <w:rsid w:val="00C43BDE"/>
    <w:rsid w:val="00C46FE9"/>
    <w:rsid w:val="00C47481"/>
    <w:rsid w:val="00C4748B"/>
    <w:rsid w:val="00C478DD"/>
    <w:rsid w:val="00C52D54"/>
    <w:rsid w:val="00C53B2E"/>
    <w:rsid w:val="00C547EB"/>
    <w:rsid w:val="00C549BA"/>
    <w:rsid w:val="00C54BA1"/>
    <w:rsid w:val="00C54D99"/>
    <w:rsid w:val="00C54DDD"/>
    <w:rsid w:val="00C57892"/>
    <w:rsid w:val="00C57D47"/>
    <w:rsid w:val="00C611D4"/>
    <w:rsid w:val="00C61206"/>
    <w:rsid w:val="00C6465F"/>
    <w:rsid w:val="00C65687"/>
    <w:rsid w:val="00C663B1"/>
    <w:rsid w:val="00C6785F"/>
    <w:rsid w:val="00C72D14"/>
    <w:rsid w:val="00C733FA"/>
    <w:rsid w:val="00C7633B"/>
    <w:rsid w:val="00C7658F"/>
    <w:rsid w:val="00C76AAD"/>
    <w:rsid w:val="00C76E6A"/>
    <w:rsid w:val="00C80023"/>
    <w:rsid w:val="00C80197"/>
    <w:rsid w:val="00C81552"/>
    <w:rsid w:val="00C845C6"/>
    <w:rsid w:val="00C84861"/>
    <w:rsid w:val="00C84FE6"/>
    <w:rsid w:val="00C85FA6"/>
    <w:rsid w:val="00C8635D"/>
    <w:rsid w:val="00C864EC"/>
    <w:rsid w:val="00C869D9"/>
    <w:rsid w:val="00C87F9D"/>
    <w:rsid w:val="00C90E70"/>
    <w:rsid w:val="00C9115D"/>
    <w:rsid w:val="00C91D29"/>
    <w:rsid w:val="00C91D33"/>
    <w:rsid w:val="00C91FEC"/>
    <w:rsid w:val="00C92E50"/>
    <w:rsid w:val="00C946BE"/>
    <w:rsid w:val="00C948B8"/>
    <w:rsid w:val="00C94A2C"/>
    <w:rsid w:val="00C964F5"/>
    <w:rsid w:val="00C96A44"/>
    <w:rsid w:val="00C9720A"/>
    <w:rsid w:val="00C972E8"/>
    <w:rsid w:val="00C97350"/>
    <w:rsid w:val="00CA07CB"/>
    <w:rsid w:val="00CA0A8B"/>
    <w:rsid w:val="00CA15C7"/>
    <w:rsid w:val="00CA20EE"/>
    <w:rsid w:val="00CA2618"/>
    <w:rsid w:val="00CA353C"/>
    <w:rsid w:val="00CA3630"/>
    <w:rsid w:val="00CA4EBE"/>
    <w:rsid w:val="00CA5AEB"/>
    <w:rsid w:val="00CA6166"/>
    <w:rsid w:val="00CA6650"/>
    <w:rsid w:val="00CA72FE"/>
    <w:rsid w:val="00CB27F3"/>
    <w:rsid w:val="00CB3685"/>
    <w:rsid w:val="00CB38C0"/>
    <w:rsid w:val="00CB4C16"/>
    <w:rsid w:val="00CB54D2"/>
    <w:rsid w:val="00CB54F1"/>
    <w:rsid w:val="00CB6265"/>
    <w:rsid w:val="00CB6DC0"/>
    <w:rsid w:val="00CC12C4"/>
    <w:rsid w:val="00CC158A"/>
    <w:rsid w:val="00CC2064"/>
    <w:rsid w:val="00CC20E1"/>
    <w:rsid w:val="00CC2410"/>
    <w:rsid w:val="00CC3AB9"/>
    <w:rsid w:val="00CC5782"/>
    <w:rsid w:val="00CC70BC"/>
    <w:rsid w:val="00CD0028"/>
    <w:rsid w:val="00CD0305"/>
    <w:rsid w:val="00CD0D80"/>
    <w:rsid w:val="00CD2F96"/>
    <w:rsid w:val="00CD37C6"/>
    <w:rsid w:val="00CD3BC9"/>
    <w:rsid w:val="00CD3C87"/>
    <w:rsid w:val="00CD4E6B"/>
    <w:rsid w:val="00CD4E94"/>
    <w:rsid w:val="00CD528D"/>
    <w:rsid w:val="00CD57CD"/>
    <w:rsid w:val="00CE134E"/>
    <w:rsid w:val="00CE18C7"/>
    <w:rsid w:val="00CE1C9D"/>
    <w:rsid w:val="00CE57FB"/>
    <w:rsid w:val="00CE5CB4"/>
    <w:rsid w:val="00CE710C"/>
    <w:rsid w:val="00CE762C"/>
    <w:rsid w:val="00CE7C4C"/>
    <w:rsid w:val="00CF04AA"/>
    <w:rsid w:val="00CF0B00"/>
    <w:rsid w:val="00CF0F29"/>
    <w:rsid w:val="00CF1011"/>
    <w:rsid w:val="00CF1982"/>
    <w:rsid w:val="00CF3252"/>
    <w:rsid w:val="00CF479F"/>
    <w:rsid w:val="00CF4CC8"/>
    <w:rsid w:val="00CF4DE3"/>
    <w:rsid w:val="00CF55C1"/>
    <w:rsid w:val="00CF7540"/>
    <w:rsid w:val="00CF7706"/>
    <w:rsid w:val="00CF7FAB"/>
    <w:rsid w:val="00D00AC5"/>
    <w:rsid w:val="00D02FC1"/>
    <w:rsid w:val="00D03C47"/>
    <w:rsid w:val="00D060B8"/>
    <w:rsid w:val="00D06B52"/>
    <w:rsid w:val="00D06F4C"/>
    <w:rsid w:val="00D1041D"/>
    <w:rsid w:val="00D12D9C"/>
    <w:rsid w:val="00D138E3"/>
    <w:rsid w:val="00D1548A"/>
    <w:rsid w:val="00D15F63"/>
    <w:rsid w:val="00D1612E"/>
    <w:rsid w:val="00D1726A"/>
    <w:rsid w:val="00D17C70"/>
    <w:rsid w:val="00D22195"/>
    <w:rsid w:val="00D2479E"/>
    <w:rsid w:val="00D258D6"/>
    <w:rsid w:val="00D267FE"/>
    <w:rsid w:val="00D30930"/>
    <w:rsid w:val="00D311E2"/>
    <w:rsid w:val="00D31646"/>
    <w:rsid w:val="00D32E81"/>
    <w:rsid w:val="00D334A7"/>
    <w:rsid w:val="00D3417E"/>
    <w:rsid w:val="00D34811"/>
    <w:rsid w:val="00D362DC"/>
    <w:rsid w:val="00D36739"/>
    <w:rsid w:val="00D3708F"/>
    <w:rsid w:val="00D374E4"/>
    <w:rsid w:val="00D378C9"/>
    <w:rsid w:val="00D4112D"/>
    <w:rsid w:val="00D41E23"/>
    <w:rsid w:val="00D426B6"/>
    <w:rsid w:val="00D427E0"/>
    <w:rsid w:val="00D42CA3"/>
    <w:rsid w:val="00D4300F"/>
    <w:rsid w:val="00D43A31"/>
    <w:rsid w:val="00D4433E"/>
    <w:rsid w:val="00D45858"/>
    <w:rsid w:val="00D45CDA"/>
    <w:rsid w:val="00D46D93"/>
    <w:rsid w:val="00D4779F"/>
    <w:rsid w:val="00D50252"/>
    <w:rsid w:val="00D5077A"/>
    <w:rsid w:val="00D50CD1"/>
    <w:rsid w:val="00D511CE"/>
    <w:rsid w:val="00D51871"/>
    <w:rsid w:val="00D527A7"/>
    <w:rsid w:val="00D52B22"/>
    <w:rsid w:val="00D52DD9"/>
    <w:rsid w:val="00D53F31"/>
    <w:rsid w:val="00D54792"/>
    <w:rsid w:val="00D56328"/>
    <w:rsid w:val="00D566E9"/>
    <w:rsid w:val="00D5733D"/>
    <w:rsid w:val="00D61FA0"/>
    <w:rsid w:val="00D631D9"/>
    <w:rsid w:val="00D63299"/>
    <w:rsid w:val="00D6357C"/>
    <w:rsid w:val="00D652A1"/>
    <w:rsid w:val="00D65A88"/>
    <w:rsid w:val="00D65B5F"/>
    <w:rsid w:val="00D67C00"/>
    <w:rsid w:val="00D7053E"/>
    <w:rsid w:val="00D705B9"/>
    <w:rsid w:val="00D7239E"/>
    <w:rsid w:val="00D726AD"/>
    <w:rsid w:val="00D72A44"/>
    <w:rsid w:val="00D744C6"/>
    <w:rsid w:val="00D75035"/>
    <w:rsid w:val="00D75A23"/>
    <w:rsid w:val="00D76465"/>
    <w:rsid w:val="00D76E5D"/>
    <w:rsid w:val="00D7760A"/>
    <w:rsid w:val="00D77DB7"/>
    <w:rsid w:val="00D77DFB"/>
    <w:rsid w:val="00D803AD"/>
    <w:rsid w:val="00D8089D"/>
    <w:rsid w:val="00D81F81"/>
    <w:rsid w:val="00D83996"/>
    <w:rsid w:val="00D855F7"/>
    <w:rsid w:val="00D86D06"/>
    <w:rsid w:val="00D87ADB"/>
    <w:rsid w:val="00D91B39"/>
    <w:rsid w:val="00D91F99"/>
    <w:rsid w:val="00D925D7"/>
    <w:rsid w:val="00D9316B"/>
    <w:rsid w:val="00D93753"/>
    <w:rsid w:val="00D956EF"/>
    <w:rsid w:val="00D96151"/>
    <w:rsid w:val="00D96713"/>
    <w:rsid w:val="00D971A7"/>
    <w:rsid w:val="00D97EE9"/>
    <w:rsid w:val="00DA0DA5"/>
    <w:rsid w:val="00DA13D5"/>
    <w:rsid w:val="00DA18FB"/>
    <w:rsid w:val="00DA3F17"/>
    <w:rsid w:val="00DA5767"/>
    <w:rsid w:val="00DA5FA4"/>
    <w:rsid w:val="00DA642A"/>
    <w:rsid w:val="00DA6A30"/>
    <w:rsid w:val="00DA72B7"/>
    <w:rsid w:val="00DA7DBC"/>
    <w:rsid w:val="00DA7EAE"/>
    <w:rsid w:val="00DB1928"/>
    <w:rsid w:val="00DB2FB4"/>
    <w:rsid w:val="00DB30BC"/>
    <w:rsid w:val="00DB337F"/>
    <w:rsid w:val="00DB35D4"/>
    <w:rsid w:val="00DB457A"/>
    <w:rsid w:val="00DB4D31"/>
    <w:rsid w:val="00DB64FD"/>
    <w:rsid w:val="00DB68C7"/>
    <w:rsid w:val="00DB6DC4"/>
    <w:rsid w:val="00DB718E"/>
    <w:rsid w:val="00DB7731"/>
    <w:rsid w:val="00DB77A7"/>
    <w:rsid w:val="00DC0507"/>
    <w:rsid w:val="00DC0A82"/>
    <w:rsid w:val="00DC0CF9"/>
    <w:rsid w:val="00DC2311"/>
    <w:rsid w:val="00DC2701"/>
    <w:rsid w:val="00DC2716"/>
    <w:rsid w:val="00DC2D72"/>
    <w:rsid w:val="00DC2ED1"/>
    <w:rsid w:val="00DC50A3"/>
    <w:rsid w:val="00DC5C3C"/>
    <w:rsid w:val="00DD071D"/>
    <w:rsid w:val="00DD162C"/>
    <w:rsid w:val="00DD1A23"/>
    <w:rsid w:val="00DD2116"/>
    <w:rsid w:val="00DD236C"/>
    <w:rsid w:val="00DD398F"/>
    <w:rsid w:val="00DD408C"/>
    <w:rsid w:val="00DD54EC"/>
    <w:rsid w:val="00DD5B14"/>
    <w:rsid w:val="00DD6B3C"/>
    <w:rsid w:val="00DD72AD"/>
    <w:rsid w:val="00DD761A"/>
    <w:rsid w:val="00DE049B"/>
    <w:rsid w:val="00DE1DE2"/>
    <w:rsid w:val="00DE23DB"/>
    <w:rsid w:val="00DE27FC"/>
    <w:rsid w:val="00DE3D48"/>
    <w:rsid w:val="00DE46B7"/>
    <w:rsid w:val="00DE5720"/>
    <w:rsid w:val="00DF0099"/>
    <w:rsid w:val="00DF048F"/>
    <w:rsid w:val="00DF0839"/>
    <w:rsid w:val="00DF10C7"/>
    <w:rsid w:val="00DF173D"/>
    <w:rsid w:val="00DF23B3"/>
    <w:rsid w:val="00DF3311"/>
    <w:rsid w:val="00DF599C"/>
    <w:rsid w:val="00E00531"/>
    <w:rsid w:val="00E01798"/>
    <w:rsid w:val="00E02642"/>
    <w:rsid w:val="00E02E59"/>
    <w:rsid w:val="00E035EB"/>
    <w:rsid w:val="00E03893"/>
    <w:rsid w:val="00E04F37"/>
    <w:rsid w:val="00E06434"/>
    <w:rsid w:val="00E0658F"/>
    <w:rsid w:val="00E06AB7"/>
    <w:rsid w:val="00E0725F"/>
    <w:rsid w:val="00E073F0"/>
    <w:rsid w:val="00E10F09"/>
    <w:rsid w:val="00E12B3D"/>
    <w:rsid w:val="00E12EA4"/>
    <w:rsid w:val="00E1333F"/>
    <w:rsid w:val="00E13E1E"/>
    <w:rsid w:val="00E14E48"/>
    <w:rsid w:val="00E1503E"/>
    <w:rsid w:val="00E16505"/>
    <w:rsid w:val="00E16F37"/>
    <w:rsid w:val="00E17558"/>
    <w:rsid w:val="00E17CF4"/>
    <w:rsid w:val="00E21A9C"/>
    <w:rsid w:val="00E22C97"/>
    <w:rsid w:val="00E22CB5"/>
    <w:rsid w:val="00E232EC"/>
    <w:rsid w:val="00E246E5"/>
    <w:rsid w:val="00E24AD2"/>
    <w:rsid w:val="00E24B16"/>
    <w:rsid w:val="00E24E38"/>
    <w:rsid w:val="00E26984"/>
    <w:rsid w:val="00E3398A"/>
    <w:rsid w:val="00E344F7"/>
    <w:rsid w:val="00E355E9"/>
    <w:rsid w:val="00E36F2C"/>
    <w:rsid w:val="00E37834"/>
    <w:rsid w:val="00E37A22"/>
    <w:rsid w:val="00E37AF5"/>
    <w:rsid w:val="00E37E04"/>
    <w:rsid w:val="00E403D7"/>
    <w:rsid w:val="00E408A0"/>
    <w:rsid w:val="00E41C68"/>
    <w:rsid w:val="00E4462C"/>
    <w:rsid w:val="00E4483C"/>
    <w:rsid w:val="00E44EC3"/>
    <w:rsid w:val="00E44FFA"/>
    <w:rsid w:val="00E50B77"/>
    <w:rsid w:val="00E51263"/>
    <w:rsid w:val="00E5228C"/>
    <w:rsid w:val="00E522AD"/>
    <w:rsid w:val="00E523F1"/>
    <w:rsid w:val="00E5255A"/>
    <w:rsid w:val="00E52A33"/>
    <w:rsid w:val="00E52F95"/>
    <w:rsid w:val="00E52FA8"/>
    <w:rsid w:val="00E53D97"/>
    <w:rsid w:val="00E57652"/>
    <w:rsid w:val="00E60DAE"/>
    <w:rsid w:val="00E61160"/>
    <w:rsid w:val="00E66A59"/>
    <w:rsid w:val="00E67297"/>
    <w:rsid w:val="00E70031"/>
    <w:rsid w:val="00E70B49"/>
    <w:rsid w:val="00E73396"/>
    <w:rsid w:val="00E736DF"/>
    <w:rsid w:val="00E75183"/>
    <w:rsid w:val="00E75516"/>
    <w:rsid w:val="00E76408"/>
    <w:rsid w:val="00E76853"/>
    <w:rsid w:val="00E77FB4"/>
    <w:rsid w:val="00E83FE6"/>
    <w:rsid w:val="00E84054"/>
    <w:rsid w:val="00E84AC4"/>
    <w:rsid w:val="00E85C02"/>
    <w:rsid w:val="00E8628E"/>
    <w:rsid w:val="00E86AC0"/>
    <w:rsid w:val="00E87895"/>
    <w:rsid w:val="00E90E27"/>
    <w:rsid w:val="00E911E4"/>
    <w:rsid w:val="00E923C4"/>
    <w:rsid w:val="00E93128"/>
    <w:rsid w:val="00E9482A"/>
    <w:rsid w:val="00E94F2C"/>
    <w:rsid w:val="00E95D57"/>
    <w:rsid w:val="00E9639C"/>
    <w:rsid w:val="00E96EF6"/>
    <w:rsid w:val="00E9798A"/>
    <w:rsid w:val="00E97E3F"/>
    <w:rsid w:val="00E97EC0"/>
    <w:rsid w:val="00EA1AA2"/>
    <w:rsid w:val="00EA1CDE"/>
    <w:rsid w:val="00EA30C9"/>
    <w:rsid w:val="00EA3365"/>
    <w:rsid w:val="00EA36E6"/>
    <w:rsid w:val="00EA4218"/>
    <w:rsid w:val="00EA4352"/>
    <w:rsid w:val="00EA5511"/>
    <w:rsid w:val="00EA6BBA"/>
    <w:rsid w:val="00EA7728"/>
    <w:rsid w:val="00EB13E5"/>
    <w:rsid w:val="00EB14AD"/>
    <w:rsid w:val="00EB2D5F"/>
    <w:rsid w:val="00EB3DC6"/>
    <w:rsid w:val="00EB4B04"/>
    <w:rsid w:val="00EB5BF4"/>
    <w:rsid w:val="00EB6204"/>
    <w:rsid w:val="00EC1290"/>
    <w:rsid w:val="00EC148D"/>
    <w:rsid w:val="00EC1A88"/>
    <w:rsid w:val="00EC1ECC"/>
    <w:rsid w:val="00EC289A"/>
    <w:rsid w:val="00EC31E0"/>
    <w:rsid w:val="00EC41D5"/>
    <w:rsid w:val="00EC4D08"/>
    <w:rsid w:val="00EC5605"/>
    <w:rsid w:val="00EC56D5"/>
    <w:rsid w:val="00EC6789"/>
    <w:rsid w:val="00ED1FCE"/>
    <w:rsid w:val="00ED2E54"/>
    <w:rsid w:val="00ED454C"/>
    <w:rsid w:val="00ED5266"/>
    <w:rsid w:val="00ED60F4"/>
    <w:rsid w:val="00ED7B49"/>
    <w:rsid w:val="00EE0406"/>
    <w:rsid w:val="00EE2132"/>
    <w:rsid w:val="00EE2F2D"/>
    <w:rsid w:val="00EE303A"/>
    <w:rsid w:val="00EE3DA6"/>
    <w:rsid w:val="00EE3FB8"/>
    <w:rsid w:val="00EE489D"/>
    <w:rsid w:val="00EE729D"/>
    <w:rsid w:val="00EE7AF7"/>
    <w:rsid w:val="00EF0012"/>
    <w:rsid w:val="00EF061D"/>
    <w:rsid w:val="00EF1215"/>
    <w:rsid w:val="00EF24E8"/>
    <w:rsid w:val="00EF3D9D"/>
    <w:rsid w:val="00EF4197"/>
    <w:rsid w:val="00EF4A0D"/>
    <w:rsid w:val="00EF5681"/>
    <w:rsid w:val="00EF5C11"/>
    <w:rsid w:val="00EF6659"/>
    <w:rsid w:val="00EF70F3"/>
    <w:rsid w:val="00EF714E"/>
    <w:rsid w:val="00F01692"/>
    <w:rsid w:val="00F018A4"/>
    <w:rsid w:val="00F01905"/>
    <w:rsid w:val="00F0197B"/>
    <w:rsid w:val="00F03A85"/>
    <w:rsid w:val="00F058B4"/>
    <w:rsid w:val="00F06031"/>
    <w:rsid w:val="00F070F2"/>
    <w:rsid w:val="00F07368"/>
    <w:rsid w:val="00F075D9"/>
    <w:rsid w:val="00F075DD"/>
    <w:rsid w:val="00F124DB"/>
    <w:rsid w:val="00F12C7E"/>
    <w:rsid w:val="00F13008"/>
    <w:rsid w:val="00F15D34"/>
    <w:rsid w:val="00F17728"/>
    <w:rsid w:val="00F2087B"/>
    <w:rsid w:val="00F22F57"/>
    <w:rsid w:val="00F249DA"/>
    <w:rsid w:val="00F24A21"/>
    <w:rsid w:val="00F24E33"/>
    <w:rsid w:val="00F253A8"/>
    <w:rsid w:val="00F25B68"/>
    <w:rsid w:val="00F322D5"/>
    <w:rsid w:val="00F3251F"/>
    <w:rsid w:val="00F32B20"/>
    <w:rsid w:val="00F33FCC"/>
    <w:rsid w:val="00F36285"/>
    <w:rsid w:val="00F4152D"/>
    <w:rsid w:val="00F425BE"/>
    <w:rsid w:val="00F426C9"/>
    <w:rsid w:val="00F45781"/>
    <w:rsid w:val="00F46011"/>
    <w:rsid w:val="00F46B73"/>
    <w:rsid w:val="00F47ADA"/>
    <w:rsid w:val="00F51163"/>
    <w:rsid w:val="00F511D9"/>
    <w:rsid w:val="00F523FF"/>
    <w:rsid w:val="00F534E1"/>
    <w:rsid w:val="00F53B3D"/>
    <w:rsid w:val="00F53B92"/>
    <w:rsid w:val="00F564EA"/>
    <w:rsid w:val="00F57296"/>
    <w:rsid w:val="00F57417"/>
    <w:rsid w:val="00F60EA0"/>
    <w:rsid w:val="00F61F0C"/>
    <w:rsid w:val="00F6203E"/>
    <w:rsid w:val="00F63804"/>
    <w:rsid w:val="00F63B18"/>
    <w:rsid w:val="00F657B4"/>
    <w:rsid w:val="00F658FB"/>
    <w:rsid w:val="00F65F8E"/>
    <w:rsid w:val="00F66014"/>
    <w:rsid w:val="00F70D5A"/>
    <w:rsid w:val="00F71D4A"/>
    <w:rsid w:val="00F72E92"/>
    <w:rsid w:val="00F73548"/>
    <w:rsid w:val="00F73C40"/>
    <w:rsid w:val="00F768EC"/>
    <w:rsid w:val="00F774A0"/>
    <w:rsid w:val="00F77596"/>
    <w:rsid w:val="00F8001F"/>
    <w:rsid w:val="00F8230D"/>
    <w:rsid w:val="00F82F90"/>
    <w:rsid w:val="00F84B6E"/>
    <w:rsid w:val="00F86A4F"/>
    <w:rsid w:val="00F8798E"/>
    <w:rsid w:val="00F90228"/>
    <w:rsid w:val="00F90731"/>
    <w:rsid w:val="00F90B01"/>
    <w:rsid w:val="00F91993"/>
    <w:rsid w:val="00F91D29"/>
    <w:rsid w:val="00F926F4"/>
    <w:rsid w:val="00F929E2"/>
    <w:rsid w:val="00F92D7B"/>
    <w:rsid w:val="00F92F50"/>
    <w:rsid w:val="00F93F4C"/>
    <w:rsid w:val="00F941D3"/>
    <w:rsid w:val="00F94C34"/>
    <w:rsid w:val="00F9549F"/>
    <w:rsid w:val="00F962F3"/>
    <w:rsid w:val="00F96804"/>
    <w:rsid w:val="00F96871"/>
    <w:rsid w:val="00F968D5"/>
    <w:rsid w:val="00F96C82"/>
    <w:rsid w:val="00FA0055"/>
    <w:rsid w:val="00FA06A6"/>
    <w:rsid w:val="00FA0AB3"/>
    <w:rsid w:val="00FA1A8D"/>
    <w:rsid w:val="00FA1C16"/>
    <w:rsid w:val="00FA2B65"/>
    <w:rsid w:val="00FA2D8F"/>
    <w:rsid w:val="00FA2EE6"/>
    <w:rsid w:val="00FA3AB9"/>
    <w:rsid w:val="00FA68ED"/>
    <w:rsid w:val="00FA7188"/>
    <w:rsid w:val="00FA7351"/>
    <w:rsid w:val="00FB1131"/>
    <w:rsid w:val="00FB13FF"/>
    <w:rsid w:val="00FB2A69"/>
    <w:rsid w:val="00FB301E"/>
    <w:rsid w:val="00FB336F"/>
    <w:rsid w:val="00FB3B42"/>
    <w:rsid w:val="00FB4C00"/>
    <w:rsid w:val="00FB56EF"/>
    <w:rsid w:val="00FB5FA2"/>
    <w:rsid w:val="00FB65C5"/>
    <w:rsid w:val="00FB6F07"/>
    <w:rsid w:val="00FB7A23"/>
    <w:rsid w:val="00FB7DDC"/>
    <w:rsid w:val="00FC1422"/>
    <w:rsid w:val="00FC1A8B"/>
    <w:rsid w:val="00FC2180"/>
    <w:rsid w:val="00FC2CC0"/>
    <w:rsid w:val="00FC397A"/>
    <w:rsid w:val="00FC49B0"/>
    <w:rsid w:val="00FC4F5E"/>
    <w:rsid w:val="00FC563F"/>
    <w:rsid w:val="00FC7494"/>
    <w:rsid w:val="00FC7ADB"/>
    <w:rsid w:val="00FC7EC1"/>
    <w:rsid w:val="00FD130B"/>
    <w:rsid w:val="00FD1F2E"/>
    <w:rsid w:val="00FD4339"/>
    <w:rsid w:val="00FD443E"/>
    <w:rsid w:val="00FD4885"/>
    <w:rsid w:val="00FD4C38"/>
    <w:rsid w:val="00FD4E37"/>
    <w:rsid w:val="00FD5210"/>
    <w:rsid w:val="00FD5802"/>
    <w:rsid w:val="00FD6D06"/>
    <w:rsid w:val="00FE12E9"/>
    <w:rsid w:val="00FE25CE"/>
    <w:rsid w:val="00FE38E0"/>
    <w:rsid w:val="00FE3AF4"/>
    <w:rsid w:val="00FE48A5"/>
    <w:rsid w:val="00FE7442"/>
    <w:rsid w:val="00FE7F04"/>
    <w:rsid w:val="00FF031B"/>
    <w:rsid w:val="00FF17AD"/>
    <w:rsid w:val="00FF18D2"/>
    <w:rsid w:val="00FF1B3D"/>
    <w:rsid w:val="00FF2346"/>
    <w:rsid w:val="00FF2561"/>
    <w:rsid w:val="00FF30A7"/>
    <w:rsid w:val="00FF3FD4"/>
    <w:rsid w:val="00FF49C4"/>
    <w:rsid w:val="00FF4A78"/>
    <w:rsid w:val="00FF4FFF"/>
    <w:rsid w:val="00FF62D7"/>
    <w:rsid w:val="00FF684A"/>
    <w:rsid w:val="00FF6A71"/>
    <w:rsid w:val="00FF7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101D1"/>
  <w15:chartTrackingRefBased/>
  <w15:docId w15:val="{F2403F26-6DD0-455B-89E7-1A35E72A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A0"/>
    <w:pPr>
      <w:spacing w:after="240" w:line="480" w:lineRule="auto"/>
      <w:jc w:val="both"/>
    </w:pPr>
    <w:rPr>
      <w:rFonts w:ascii="Times New Roman" w:hAnsi="Times New Roman" w:cs="Times New Roman"/>
      <w:sz w:val="24"/>
      <w:szCs w:val="24"/>
      <w:shd w:val="clear" w:color="auto" w:fill="FFFFFF"/>
    </w:rPr>
  </w:style>
  <w:style w:type="paragraph" w:styleId="Heading1">
    <w:name w:val="heading 1"/>
    <w:basedOn w:val="Heading4"/>
    <w:next w:val="Normal"/>
    <w:link w:val="Heading1Char"/>
    <w:uiPriority w:val="9"/>
    <w:qFormat/>
    <w:rsid w:val="00255CB8"/>
    <w:pPr>
      <w:spacing w:before="0" w:after="240"/>
      <w:outlineLvl w:val="0"/>
    </w:pPr>
  </w:style>
  <w:style w:type="paragraph" w:styleId="Heading2">
    <w:name w:val="heading 2"/>
    <w:basedOn w:val="Heading1"/>
    <w:next w:val="Normal"/>
    <w:link w:val="Heading2Char"/>
    <w:uiPriority w:val="9"/>
    <w:unhideWhenUsed/>
    <w:qFormat/>
    <w:rsid w:val="00255CB8"/>
    <w:pPr>
      <w:outlineLvl w:val="1"/>
    </w:pPr>
  </w:style>
  <w:style w:type="paragraph" w:styleId="Heading4">
    <w:name w:val="heading 4"/>
    <w:basedOn w:val="Normal"/>
    <w:next w:val="Normal"/>
    <w:link w:val="Heading4Char"/>
    <w:uiPriority w:val="9"/>
    <w:unhideWhenUsed/>
    <w:qFormat/>
    <w:rsid w:val="00EE489D"/>
    <w:pPr>
      <w:keepNext/>
      <w:keepLines/>
      <w:spacing w:before="120" w:after="120" w:line="240" w:lineRule="auto"/>
      <w:jc w:val="left"/>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1612E"/>
    <w:pPr>
      <w:autoSpaceDE w:val="0"/>
      <w:autoSpaceDN w:val="0"/>
      <w:adjustRightInd w:val="0"/>
      <w:spacing w:before="31" w:after="0" w:line="240" w:lineRule="auto"/>
      <w:ind w:left="1137"/>
    </w:pPr>
    <w:rPr>
      <w:rFonts w:ascii="Arial" w:hAnsi="Arial" w:cs="Arial"/>
      <w:sz w:val="19"/>
      <w:szCs w:val="19"/>
    </w:rPr>
  </w:style>
  <w:style w:type="character" w:customStyle="1" w:styleId="BodyTextChar">
    <w:name w:val="Body Text Char"/>
    <w:basedOn w:val="DefaultParagraphFont"/>
    <w:link w:val="BodyText"/>
    <w:uiPriority w:val="1"/>
    <w:rsid w:val="00D1612E"/>
    <w:rPr>
      <w:rFonts w:ascii="Arial" w:hAnsi="Arial" w:cs="Arial"/>
      <w:sz w:val="19"/>
      <w:szCs w:val="19"/>
    </w:rPr>
  </w:style>
  <w:style w:type="character" w:customStyle="1" w:styleId="Heading4Char">
    <w:name w:val="Heading 4 Char"/>
    <w:basedOn w:val="DefaultParagraphFont"/>
    <w:link w:val="Heading4"/>
    <w:uiPriority w:val="9"/>
    <w:rsid w:val="00EE489D"/>
    <w:rPr>
      <w:rFonts w:ascii="Times New Roman" w:eastAsiaTheme="majorEastAsia" w:hAnsi="Times New Roman" w:cs="Times New Roman"/>
      <w:b/>
      <w:iCs/>
      <w:sz w:val="24"/>
      <w:szCs w:val="24"/>
    </w:rPr>
  </w:style>
  <w:style w:type="character" w:customStyle="1" w:styleId="Heading1Char">
    <w:name w:val="Heading 1 Char"/>
    <w:basedOn w:val="DefaultParagraphFont"/>
    <w:link w:val="Heading1"/>
    <w:uiPriority w:val="9"/>
    <w:rsid w:val="00255CB8"/>
    <w:rPr>
      <w:rFonts w:ascii="Times New Roman" w:eastAsiaTheme="majorEastAsia" w:hAnsi="Times New Roman" w:cs="Times New Roman"/>
      <w:b/>
      <w:iCs/>
      <w:sz w:val="24"/>
      <w:szCs w:val="24"/>
    </w:rPr>
  </w:style>
  <w:style w:type="character" w:styleId="CommentReference">
    <w:name w:val="annotation reference"/>
    <w:basedOn w:val="DefaultParagraphFont"/>
    <w:uiPriority w:val="99"/>
    <w:semiHidden/>
    <w:unhideWhenUsed/>
    <w:rsid w:val="00DC0CF9"/>
    <w:rPr>
      <w:sz w:val="16"/>
      <w:szCs w:val="16"/>
    </w:rPr>
  </w:style>
  <w:style w:type="paragraph" w:styleId="CommentText">
    <w:name w:val="annotation text"/>
    <w:basedOn w:val="Normal"/>
    <w:link w:val="CommentTextChar"/>
    <w:uiPriority w:val="99"/>
    <w:unhideWhenUsed/>
    <w:rsid w:val="00DC0CF9"/>
    <w:pPr>
      <w:spacing w:line="240" w:lineRule="auto"/>
    </w:pPr>
    <w:rPr>
      <w:sz w:val="20"/>
      <w:szCs w:val="20"/>
    </w:rPr>
  </w:style>
  <w:style w:type="character" w:customStyle="1" w:styleId="CommentTextChar">
    <w:name w:val="Comment Text Char"/>
    <w:basedOn w:val="DefaultParagraphFont"/>
    <w:link w:val="CommentText"/>
    <w:uiPriority w:val="99"/>
    <w:rsid w:val="00DC0CF9"/>
    <w:rPr>
      <w:sz w:val="20"/>
      <w:szCs w:val="20"/>
    </w:rPr>
  </w:style>
  <w:style w:type="paragraph" w:styleId="CommentSubject">
    <w:name w:val="annotation subject"/>
    <w:basedOn w:val="CommentText"/>
    <w:next w:val="CommentText"/>
    <w:link w:val="CommentSubjectChar"/>
    <w:uiPriority w:val="99"/>
    <w:semiHidden/>
    <w:unhideWhenUsed/>
    <w:rsid w:val="00DC0CF9"/>
    <w:rPr>
      <w:b/>
      <w:bCs/>
    </w:rPr>
  </w:style>
  <w:style w:type="character" w:customStyle="1" w:styleId="CommentSubjectChar">
    <w:name w:val="Comment Subject Char"/>
    <w:basedOn w:val="CommentTextChar"/>
    <w:link w:val="CommentSubject"/>
    <w:uiPriority w:val="99"/>
    <w:semiHidden/>
    <w:rsid w:val="00DC0CF9"/>
    <w:rPr>
      <w:b/>
      <w:bCs/>
      <w:sz w:val="20"/>
      <w:szCs w:val="20"/>
    </w:rPr>
  </w:style>
  <w:style w:type="paragraph" w:styleId="BalloonText">
    <w:name w:val="Balloon Text"/>
    <w:basedOn w:val="Normal"/>
    <w:link w:val="BalloonTextChar"/>
    <w:uiPriority w:val="99"/>
    <w:semiHidden/>
    <w:unhideWhenUsed/>
    <w:rsid w:val="00DC0C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CF9"/>
    <w:rPr>
      <w:rFonts w:ascii="Segoe UI" w:hAnsi="Segoe UI" w:cs="Segoe UI"/>
      <w:sz w:val="18"/>
      <w:szCs w:val="18"/>
    </w:rPr>
  </w:style>
  <w:style w:type="paragraph" w:styleId="Header">
    <w:name w:val="header"/>
    <w:basedOn w:val="Normal"/>
    <w:link w:val="HeaderChar"/>
    <w:uiPriority w:val="99"/>
    <w:unhideWhenUsed/>
    <w:rsid w:val="00E7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FB4"/>
  </w:style>
  <w:style w:type="paragraph" w:styleId="Footer">
    <w:name w:val="footer"/>
    <w:basedOn w:val="Normal"/>
    <w:link w:val="FooterChar"/>
    <w:uiPriority w:val="99"/>
    <w:unhideWhenUsed/>
    <w:rsid w:val="00E7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FB4"/>
  </w:style>
  <w:style w:type="paragraph" w:styleId="FootnoteText">
    <w:name w:val="footnote text"/>
    <w:basedOn w:val="Normal"/>
    <w:link w:val="FootnoteTextChar"/>
    <w:uiPriority w:val="99"/>
    <w:unhideWhenUsed/>
    <w:rsid w:val="00A54A16"/>
    <w:pPr>
      <w:spacing w:after="0" w:line="240" w:lineRule="auto"/>
    </w:pPr>
    <w:rPr>
      <w:sz w:val="20"/>
      <w:szCs w:val="20"/>
    </w:rPr>
  </w:style>
  <w:style w:type="character" w:customStyle="1" w:styleId="FootnoteTextChar">
    <w:name w:val="Footnote Text Char"/>
    <w:basedOn w:val="DefaultParagraphFont"/>
    <w:link w:val="FootnoteText"/>
    <w:uiPriority w:val="99"/>
    <w:rsid w:val="00A54A1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54A16"/>
    <w:rPr>
      <w:vertAlign w:val="superscript"/>
    </w:rPr>
  </w:style>
  <w:style w:type="character" w:styleId="Hyperlink">
    <w:name w:val="Hyperlink"/>
    <w:basedOn w:val="DefaultParagraphFont"/>
    <w:uiPriority w:val="99"/>
    <w:unhideWhenUsed/>
    <w:rsid w:val="00D96151"/>
    <w:rPr>
      <w:color w:val="0000FF"/>
      <w:u w:val="single"/>
    </w:rPr>
  </w:style>
  <w:style w:type="character" w:styleId="Emphasis">
    <w:name w:val="Emphasis"/>
    <w:basedOn w:val="DefaultParagraphFont"/>
    <w:uiPriority w:val="20"/>
    <w:qFormat/>
    <w:rsid w:val="000B7BC7"/>
    <w:rPr>
      <w:i/>
      <w:iCs/>
    </w:rPr>
  </w:style>
  <w:style w:type="character" w:customStyle="1" w:styleId="UnresolvedMention1">
    <w:name w:val="Unresolved Mention1"/>
    <w:basedOn w:val="DefaultParagraphFont"/>
    <w:uiPriority w:val="99"/>
    <w:semiHidden/>
    <w:unhideWhenUsed/>
    <w:rsid w:val="00D77DB7"/>
    <w:rPr>
      <w:color w:val="605E5C"/>
      <w:shd w:val="clear" w:color="auto" w:fill="E1DFDD"/>
    </w:rPr>
  </w:style>
  <w:style w:type="character" w:styleId="FollowedHyperlink">
    <w:name w:val="FollowedHyperlink"/>
    <w:basedOn w:val="DefaultParagraphFont"/>
    <w:uiPriority w:val="99"/>
    <w:semiHidden/>
    <w:unhideWhenUsed/>
    <w:rsid w:val="00471A13"/>
    <w:rPr>
      <w:color w:val="954F72" w:themeColor="followedHyperlink"/>
      <w:u w:val="single"/>
    </w:rPr>
  </w:style>
  <w:style w:type="paragraph" w:styleId="NoSpacing">
    <w:name w:val="No Spacing"/>
    <w:uiPriority w:val="1"/>
    <w:qFormat/>
    <w:rsid w:val="000D39A7"/>
    <w:pPr>
      <w:spacing w:after="0" w:line="240" w:lineRule="auto"/>
      <w:jc w:val="both"/>
    </w:pPr>
    <w:rPr>
      <w:rFonts w:ascii="Times New Roman" w:hAnsi="Times New Roman" w:cs="Times New Roman"/>
      <w:sz w:val="24"/>
      <w:szCs w:val="24"/>
    </w:rPr>
  </w:style>
  <w:style w:type="paragraph" w:customStyle="1" w:styleId="pf0">
    <w:name w:val="pf0"/>
    <w:basedOn w:val="Normal"/>
    <w:rsid w:val="00F57296"/>
    <w:pPr>
      <w:spacing w:before="100" w:beforeAutospacing="1" w:after="100" w:afterAutospacing="1" w:line="240" w:lineRule="auto"/>
      <w:jc w:val="left"/>
    </w:pPr>
    <w:rPr>
      <w:rFonts w:eastAsia="Times New Roman"/>
    </w:rPr>
  </w:style>
  <w:style w:type="character" w:customStyle="1" w:styleId="cf01">
    <w:name w:val="cf01"/>
    <w:basedOn w:val="DefaultParagraphFont"/>
    <w:rsid w:val="00F57296"/>
    <w:rPr>
      <w:rFonts w:ascii="Segoe UI" w:hAnsi="Segoe UI" w:cs="Segoe UI" w:hint="default"/>
      <w:sz w:val="18"/>
      <w:szCs w:val="18"/>
    </w:rPr>
  </w:style>
  <w:style w:type="character" w:customStyle="1" w:styleId="Heading2Char">
    <w:name w:val="Heading 2 Char"/>
    <w:basedOn w:val="DefaultParagraphFont"/>
    <w:link w:val="Heading2"/>
    <w:uiPriority w:val="9"/>
    <w:rsid w:val="00255CB8"/>
    <w:rPr>
      <w:rFonts w:ascii="Times New Roman" w:eastAsiaTheme="majorEastAsia" w:hAnsi="Times New Roman" w:cs="Times New Roman"/>
      <w:b/>
      <w:iCs/>
      <w:sz w:val="24"/>
      <w:szCs w:val="24"/>
    </w:rPr>
  </w:style>
  <w:style w:type="paragraph" w:styleId="HTMLPreformatted">
    <w:name w:val="HTML Preformatted"/>
    <w:basedOn w:val="Normal"/>
    <w:link w:val="HTMLPreformattedChar"/>
    <w:uiPriority w:val="99"/>
    <w:semiHidden/>
    <w:unhideWhenUsed/>
    <w:rsid w:val="00D527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27A7"/>
    <w:rPr>
      <w:rFonts w:ascii="Consolas" w:hAnsi="Consolas" w:cs="Times New Roman"/>
      <w:sz w:val="20"/>
      <w:szCs w:val="20"/>
    </w:rPr>
  </w:style>
  <w:style w:type="character" w:styleId="PlaceholderText">
    <w:name w:val="Placeholder Text"/>
    <w:basedOn w:val="DefaultParagraphFont"/>
    <w:uiPriority w:val="99"/>
    <w:semiHidden/>
    <w:rsid w:val="00315A84"/>
    <w:rPr>
      <w:color w:val="666666"/>
    </w:rPr>
  </w:style>
  <w:style w:type="character" w:styleId="UnresolvedMention">
    <w:name w:val="Unresolved Mention"/>
    <w:basedOn w:val="DefaultParagraphFont"/>
    <w:uiPriority w:val="99"/>
    <w:semiHidden/>
    <w:unhideWhenUsed/>
    <w:rsid w:val="00E84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4745">
      <w:bodyDiv w:val="1"/>
      <w:marLeft w:val="0"/>
      <w:marRight w:val="0"/>
      <w:marTop w:val="0"/>
      <w:marBottom w:val="0"/>
      <w:divBdr>
        <w:top w:val="none" w:sz="0" w:space="0" w:color="auto"/>
        <w:left w:val="none" w:sz="0" w:space="0" w:color="auto"/>
        <w:bottom w:val="none" w:sz="0" w:space="0" w:color="auto"/>
        <w:right w:val="none" w:sz="0" w:space="0" w:color="auto"/>
      </w:divBdr>
    </w:div>
    <w:div w:id="214002762">
      <w:bodyDiv w:val="1"/>
      <w:marLeft w:val="0"/>
      <w:marRight w:val="0"/>
      <w:marTop w:val="0"/>
      <w:marBottom w:val="0"/>
      <w:divBdr>
        <w:top w:val="none" w:sz="0" w:space="0" w:color="auto"/>
        <w:left w:val="none" w:sz="0" w:space="0" w:color="auto"/>
        <w:bottom w:val="none" w:sz="0" w:space="0" w:color="auto"/>
        <w:right w:val="none" w:sz="0" w:space="0" w:color="auto"/>
      </w:divBdr>
    </w:div>
    <w:div w:id="223761716">
      <w:bodyDiv w:val="1"/>
      <w:marLeft w:val="0"/>
      <w:marRight w:val="0"/>
      <w:marTop w:val="0"/>
      <w:marBottom w:val="0"/>
      <w:divBdr>
        <w:top w:val="none" w:sz="0" w:space="0" w:color="auto"/>
        <w:left w:val="none" w:sz="0" w:space="0" w:color="auto"/>
        <w:bottom w:val="none" w:sz="0" w:space="0" w:color="auto"/>
        <w:right w:val="none" w:sz="0" w:space="0" w:color="auto"/>
      </w:divBdr>
    </w:div>
    <w:div w:id="233055399">
      <w:bodyDiv w:val="1"/>
      <w:marLeft w:val="0"/>
      <w:marRight w:val="0"/>
      <w:marTop w:val="0"/>
      <w:marBottom w:val="0"/>
      <w:divBdr>
        <w:top w:val="none" w:sz="0" w:space="0" w:color="auto"/>
        <w:left w:val="none" w:sz="0" w:space="0" w:color="auto"/>
        <w:bottom w:val="none" w:sz="0" w:space="0" w:color="auto"/>
        <w:right w:val="none" w:sz="0" w:space="0" w:color="auto"/>
      </w:divBdr>
    </w:div>
    <w:div w:id="344482464">
      <w:bodyDiv w:val="1"/>
      <w:marLeft w:val="0"/>
      <w:marRight w:val="0"/>
      <w:marTop w:val="0"/>
      <w:marBottom w:val="0"/>
      <w:divBdr>
        <w:top w:val="none" w:sz="0" w:space="0" w:color="auto"/>
        <w:left w:val="none" w:sz="0" w:space="0" w:color="auto"/>
        <w:bottom w:val="none" w:sz="0" w:space="0" w:color="auto"/>
        <w:right w:val="none" w:sz="0" w:space="0" w:color="auto"/>
      </w:divBdr>
    </w:div>
    <w:div w:id="693730469">
      <w:bodyDiv w:val="1"/>
      <w:marLeft w:val="0"/>
      <w:marRight w:val="0"/>
      <w:marTop w:val="0"/>
      <w:marBottom w:val="0"/>
      <w:divBdr>
        <w:top w:val="none" w:sz="0" w:space="0" w:color="auto"/>
        <w:left w:val="none" w:sz="0" w:space="0" w:color="auto"/>
        <w:bottom w:val="none" w:sz="0" w:space="0" w:color="auto"/>
        <w:right w:val="none" w:sz="0" w:space="0" w:color="auto"/>
      </w:divBdr>
    </w:div>
    <w:div w:id="738751637">
      <w:bodyDiv w:val="1"/>
      <w:marLeft w:val="0"/>
      <w:marRight w:val="0"/>
      <w:marTop w:val="0"/>
      <w:marBottom w:val="0"/>
      <w:divBdr>
        <w:top w:val="none" w:sz="0" w:space="0" w:color="auto"/>
        <w:left w:val="none" w:sz="0" w:space="0" w:color="auto"/>
        <w:bottom w:val="none" w:sz="0" w:space="0" w:color="auto"/>
        <w:right w:val="none" w:sz="0" w:space="0" w:color="auto"/>
      </w:divBdr>
    </w:div>
    <w:div w:id="919560845">
      <w:bodyDiv w:val="1"/>
      <w:marLeft w:val="0"/>
      <w:marRight w:val="0"/>
      <w:marTop w:val="0"/>
      <w:marBottom w:val="0"/>
      <w:divBdr>
        <w:top w:val="none" w:sz="0" w:space="0" w:color="auto"/>
        <w:left w:val="none" w:sz="0" w:space="0" w:color="auto"/>
        <w:bottom w:val="none" w:sz="0" w:space="0" w:color="auto"/>
        <w:right w:val="none" w:sz="0" w:space="0" w:color="auto"/>
      </w:divBdr>
    </w:div>
    <w:div w:id="1006442057">
      <w:bodyDiv w:val="1"/>
      <w:marLeft w:val="0"/>
      <w:marRight w:val="0"/>
      <w:marTop w:val="0"/>
      <w:marBottom w:val="0"/>
      <w:divBdr>
        <w:top w:val="none" w:sz="0" w:space="0" w:color="auto"/>
        <w:left w:val="none" w:sz="0" w:space="0" w:color="auto"/>
        <w:bottom w:val="none" w:sz="0" w:space="0" w:color="auto"/>
        <w:right w:val="none" w:sz="0" w:space="0" w:color="auto"/>
      </w:divBdr>
    </w:div>
    <w:div w:id="1140809413">
      <w:bodyDiv w:val="1"/>
      <w:marLeft w:val="0"/>
      <w:marRight w:val="0"/>
      <w:marTop w:val="0"/>
      <w:marBottom w:val="0"/>
      <w:divBdr>
        <w:top w:val="none" w:sz="0" w:space="0" w:color="auto"/>
        <w:left w:val="none" w:sz="0" w:space="0" w:color="auto"/>
        <w:bottom w:val="none" w:sz="0" w:space="0" w:color="auto"/>
        <w:right w:val="none" w:sz="0" w:space="0" w:color="auto"/>
      </w:divBdr>
    </w:div>
    <w:div w:id="1262374091">
      <w:bodyDiv w:val="1"/>
      <w:marLeft w:val="0"/>
      <w:marRight w:val="0"/>
      <w:marTop w:val="0"/>
      <w:marBottom w:val="0"/>
      <w:divBdr>
        <w:top w:val="none" w:sz="0" w:space="0" w:color="auto"/>
        <w:left w:val="none" w:sz="0" w:space="0" w:color="auto"/>
        <w:bottom w:val="none" w:sz="0" w:space="0" w:color="auto"/>
        <w:right w:val="none" w:sz="0" w:space="0" w:color="auto"/>
      </w:divBdr>
    </w:div>
    <w:div w:id="1439061218">
      <w:bodyDiv w:val="1"/>
      <w:marLeft w:val="0"/>
      <w:marRight w:val="0"/>
      <w:marTop w:val="0"/>
      <w:marBottom w:val="0"/>
      <w:divBdr>
        <w:top w:val="none" w:sz="0" w:space="0" w:color="auto"/>
        <w:left w:val="none" w:sz="0" w:space="0" w:color="auto"/>
        <w:bottom w:val="none" w:sz="0" w:space="0" w:color="auto"/>
        <w:right w:val="none" w:sz="0" w:space="0" w:color="auto"/>
      </w:divBdr>
    </w:div>
    <w:div w:id="1570462001">
      <w:bodyDiv w:val="1"/>
      <w:marLeft w:val="0"/>
      <w:marRight w:val="0"/>
      <w:marTop w:val="0"/>
      <w:marBottom w:val="0"/>
      <w:divBdr>
        <w:top w:val="none" w:sz="0" w:space="0" w:color="auto"/>
        <w:left w:val="none" w:sz="0" w:space="0" w:color="auto"/>
        <w:bottom w:val="none" w:sz="0" w:space="0" w:color="auto"/>
        <w:right w:val="none" w:sz="0" w:space="0" w:color="auto"/>
      </w:divBdr>
    </w:div>
    <w:div w:id="1673875761">
      <w:bodyDiv w:val="1"/>
      <w:marLeft w:val="0"/>
      <w:marRight w:val="0"/>
      <w:marTop w:val="0"/>
      <w:marBottom w:val="0"/>
      <w:divBdr>
        <w:top w:val="none" w:sz="0" w:space="0" w:color="auto"/>
        <w:left w:val="none" w:sz="0" w:space="0" w:color="auto"/>
        <w:bottom w:val="none" w:sz="0" w:space="0" w:color="auto"/>
        <w:right w:val="none" w:sz="0" w:space="0" w:color="auto"/>
      </w:divBdr>
    </w:div>
    <w:div w:id="1677491558">
      <w:bodyDiv w:val="1"/>
      <w:marLeft w:val="0"/>
      <w:marRight w:val="0"/>
      <w:marTop w:val="0"/>
      <w:marBottom w:val="0"/>
      <w:divBdr>
        <w:top w:val="none" w:sz="0" w:space="0" w:color="auto"/>
        <w:left w:val="none" w:sz="0" w:space="0" w:color="auto"/>
        <w:bottom w:val="none" w:sz="0" w:space="0" w:color="auto"/>
        <w:right w:val="none" w:sz="0" w:space="0" w:color="auto"/>
      </w:divBdr>
    </w:div>
    <w:div w:id="1854758981">
      <w:bodyDiv w:val="1"/>
      <w:marLeft w:val="0"/>
      <w:marRight w:val="0"/>
      <w:marTop w:val="0"/>
      <w:marBottom w:val="0"/>
      <w:divBdr>
        <w:top w:val="none" w:sz="0" w:space="0" w:color="auto"/>
        <w:left w:val="none" w:sz="0" w:space="0" w:color="auto"/>
        <w:bottom w:val="none" w:sz="0" w:space="0" w:color="auto"/>
        <w:right w:val="none" w:sz="0" w:space="0" w:color="auto"/>
      </w:divBdr>
    </w:div>
    <w:div w:id="1958219255">
      <w:bodyDiv w:val="1"/>
      <w:marLeft w:val="0"/>
      <w:marRight w:val="0"/>
      <w:marTop w:val="0"/>
      <w:marBottom w:val="0"/>
      <w:divBdr>
        <w:top w:val="none" w:sz="0" w:space="0" w:color="auto"/>
        <w:left w:val="none" w:sz="0" w:space="0" w:color="auto"/>
        <w:bottom w:val="none" w:sz="0" w:space="0" w:color="auto"/>
        <w:right w:val="none" w:sz="0" w:space="0" w:color="auto"/>
      </w:divBdr>
    </w:div>
    <w:div w:id="201263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ametsoc.org/view/journals/bams/77/2/1520-0477_1996_077_0279_ioccft_2_0_co_2.x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rancis.tsiboe@usda.gov"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beocat.k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6B56011B87214599F8FCBF15564208" ma:contentTypeVersion="10" ma:contentTypeDescription="Create a new document." ma:contentTypeScope="" ma:versionID="a48f6fbd083fbb738994cd79887107ff">
  <xsd:schema xmlns:xsd="http://www.w3.org/2001/XMLSchema" xmlns:xs="http://www.w3.org/2001/XMLSchema" xmlns:p="http://schemas.microsoft.com/office/2006/metadata/properties" xmlns:ns2="b0f3e7be-9aa7-4453-ab41-cc5f7ea03e6c" targetNamespace="http://schemas.microsoft.com/office/2006/metadata/properties" ma:root="true" ma:fieldsID="1793d4c778cb9895bbf9659d84aef222" ns2:_="">
    <xsd:import namespace="b0f3e7be-9aa7-4453-ab41-cc5f7ea03e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f3e7be-9aa7-4453-ab41-cc5f7ea03e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f3e7be-9aa7-4453-ab41-cc5f7ea03e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1DAF8-D8E7-4D6E-90D3-97E88A360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3e7be-9aa7-4453-ab41-cc5f7ea03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D5069C-9E35-4D16-8EB2-E259A54F4AAD}">
  <ds:schemaRefs>
    <ds:schemaRef ds:uri="http://schemas.microsoft.com/office/2006/metadata/properties"/>
    <ds:schemaRef ds:uri="http://schemas.microsoft.com/office/infopath/2007/PartnerControls"/>
    <ds:schemaRef ds:uri="b0f3e7be-9aa7-4453-ab41-cc5f7ea03e6c"/>
  </ds:schemaRefs>
</ds:datastoreItem>
</file>

<file path=customXml/itemProps3.xml><?xml version="1.0" encoding="utf-8"?>
<ds:datastoreItem xmlns:ds="http://schemas.openxmlformats.org/officeDocument/2006/customXml" ds:itemID="{915CA9A3-D70A-4079-9B68-057149AF44A5}">
  <ds:schemaRefs>
    <ds:schemaRef ds:uri="http://schemas.microsoft.com/sharepoint/v3/contenttype/forms"/>
  </ds:schemaRefs>
</ds:datastoreItem>
</file>

<file path=customXml/itemProps4.xml><?xml version="1.0" encoding="utf-8"?>
<ds:datastoreItem xmlns:ds="http://schemas.openxmlformats.org/officeDocument/2006/customXml" ds:itemID="{378FD933-C20B-4EEB-BE75-0B821E247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5114</TotalTime>
  <Pages>27</Pages>
  <Words>13619</Words>
  <Characters>77634</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Shear</dc:creator>
  <cp:keywords/>
  <dc:description/>
  <cp:lastModifiedBy>Tsiboe, Francis - REE-ERS</cp:lastModifiedBy>
  <cp:revision>762</cp:revision>
  <dcterms:created xsi:type="dcterms:W3CDTF">2024-04-02T18:19:00Z</dcterms:created>
  <dcterms:modified xsi:type="dcterms:W3CDTF">2024-08-06T02:10:00Z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http://www.zotero.org/styles/journal-of-environmental-economics-and-management</vt:lpwstr>
  </property>
  <property fmtid="{D5CDD505-2E9C-101B-9397-08002B2CF9AE}" pid="13" name="Mendeley Recent Style Name 5_1">
    <vt:lpwstr>Journal of Environmental Economics and Management</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http://www.zotero.org/styles/plos-one</vt:lpwstr>
  </property>
  <property fmtid="{D5CDD505-2E9C-101B-9397-08002B2CF9AE}" pid="21" name="Mendeley Recent Style Name 9_1">
    <vt:lpwstr>PLOS ONE</vt:lpwstr>
  </property>
  <property fmtid="{D5CDD505-2E9C-101B-9397-08002B2CF9AE}" pid="22" name="Mendeley Document_1">
    <vt:lpwstr>True</vt:lpwstr>
  </property>
  <property fmtid="{D5CDD505-2E9C-101B-9397-08002B2CF9AE}" pid="23" name="Mendeley Citation Style_1">
    <vt:lpwstr>http://www.zotero.org/styles/plos-one</vt:lpwstr>
  </property>
  <property fmtid="{D5CDD505-2E9C-101B-9397-08002B2CF9AE}" pid="24" name="Mendeley Unique User Id_1">
    <vt:lpwstr>203e9959-8583-3748-9456-d923ef841686</vt:lpwstr>
  </property>
  <property fmtid="{D5CDD505-2E9C-101B-9397-08002B2CF9AE}" pid="25" name="ContentTypeId">
    <vt:lpwstr>0x0101005E6B56011B87214599F8FCBF15564208</vt:lpwstr>
  </property>
  <property fmtid="{D5CDD505-2E9C-101B-9397-08002B2CF9AE}" pid="26" name="MediaServiceImageTags">
    <vt:lpwstr/>
  </property>
</Properties>
</file>