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ED21" w14:textId="2A7F4C70" w:rsidR="00401DBF" w:rsidRDefault="000B7C3A" w:rsidP="00161EE1">
      <w:pPr>
        <w:spacing w:line="240" w:lineRule="auto"/>
        <w:jc w:val="center"/>
        <w:rPr>
          <w:b/>
          <w:bCs/>
        </w:rPr>
      </w:pPr>
      <w:r>
        <w:rPr>
          <w:b/>
          <w:bCs/>
        </w:rPr>
        <w:t>Temperature</w:t>
      </w:r>
      <w:r w:rsidR="00F972D3" w:rsidRPr="00F972D3">
        <w:rPr>
          <w:b/>
          <w:bCs/>
        </w:rPr>
        <w:t xml:space="preserve"> Induced Yield Impacts and Geographic Shifts in US Alfalfa Production</w:t>
      </w:r>
    </w:p>
    <w:p w14:paraId="3B9BF26B" w14:textId="77777777" w:rsidR="006718BC" w:rsidRPr="00C47481" w:rsidRDefault="006718BC" w:rsidP="00E408A0">
      <w:pPr>
        <w:pStyle w:val="Heading1"/>
      </w:pPr>
      <w:r w:rsidRPr="00C47481">
        <w:t>Acknowledgment</w:t>
      </w:r>
    </w:p>
    <w:p w14:paraId="68AFC6DD" w14:textId="7BEE508D" w:rsidR="006718BC" w:rsidRPr="00EA6BBA" w:rsidRDefault="006718BC" w:rsidP="00E408A0">
      <w:pPr>
        <w:spacing w:line="240" w:lineRule="auto"/>
      </w:pPr>
      <w:r w:rsidRPr="00EA6BBA">
        <w:t>The author</w:t>
      </w:r>
      <w:r w:rsidR="0070734F" w:rsidRPr="00EA6BBA">
        <w:t>s</w:t>
      </w:r>
      <w:r w:rsidRPr="00EA6BBA">
        <w:t xml:space="preserve"> gratefully </w:t>
      </w:r>
      <w:r w:rsidR="00980E00" w:rsidRPr="00EA6BBA">
        <w:t>acknowledge</w:t>
      </w:r>
      <w:r w:rsidRPr="00EA6BBA">
        <w:t xml:space="preserve"> </w:t>
      </w:r>
      <w:r w:rsidR="00C32B74" w:rsidRPr="00EA6BBA">
        <w:t xml:space="preserve">the </w:t>
      </w:r>
      <w:r w:rsidRPr="00EA6BBA">
        <w:t xml:space="preserve">National Agricultural Statistics Service (NASS), PRISM Climate Group, Professor Wolfram Schlenker, and the Natural Resources Conservation Service (NRCS) for </w:t>
      </w:r>
      <w:r w:rsidR="00180B27" w:rsidRPr="00EA6BBA">
        <w:t xml:space="preserve">the </w:t>
      </w:r>
      <w:r w:rsidRPr="00EA6BBA">
        <w:t xml:space="preserve">dataset used for the study. The </w:t>
      </w:r>
      <w:r w:rsidR="00846C2B" w:rsidRPr="00EA6BBA">
        <w:t>authors are</w:t>
      </w:r>
      <w:r w:rsidRPr="00EA6BBA">
        <w:t xml:space="preserve"> also grateful for data processing on Beocat Research Cluster at Kansas State University. </w:t>
      </w:r>
      <w:r w:rsidR="00035E45" w:rsidRPr="00035E45">
        <w:t>The views expressed in this publication are solely those of the authors and do not reflect the official positions or policies of their affiliated institutions</w:t>
      </w:r>
    </w:p>
    <w:p w14:paraId="56D03CE7" w14:textId="77777777" w:rsidR="006718BC" w:rsidRDefault="006718BC" w:rsidP="00E408A0">
      <w:pPr>
        <w:pStyle w:val="Heading1"/>
      </w:pPr>
      <w:r w:rsidRPr="00C47481">
        <w:t xml:space="preserve">Abstract </w:t>
      </w:r>
    </w:p>
    <w:p w14:paraId="2D1576A5" w14:textId="77777777" w:rsidR="000021F0" w:rsidRPr="000021F0" w:rsidRDefault="000021F0" w:rsidP="000021F0"/>
    <w:p w14:paraId="4FF60A81" w14:textId="30024940" w:rsidR="006718BC" w:rsidRPr="00C47481" w:rsidRDefault="006718BC" w:rsidP="00E408A0">
      <w:pPr>
        <w:spacing w:line="240" w:lineRule="auto"/>
      </w:pPr>
      <w:r w:rsidRPr="00C47481">
        <w:rPr>
          <w:b/>
        </w:rPr>
        <w:t>Keywords;</w:t>
      </w:r>
      <w:r w:rsidRPr="00C47481">
        <w:t xml:space="preserve"> </w:t>
      </w:r>
    </w:p>
    <w:p w14:paraId="4E2BD269" w14:textId="7180D1A7" w:rsidR="00C47481" w:rsidRDefault="00040C29" w:rsidP="00E408A0">
      <w:pPr>
        <w:spacing w:line="240" w:lineRule="auto"/>
        <w:sectPr w:rsidR="00C47481" w:rsidSect="00EA30C9">
          <w:footerReference w:type="default" r:id="rId11"/>
          <w:pgSz w:w="12240" w:h="15840"/>
          <w:pgMar w:top="1440" w:right="1440" w:bottom="1440" w:left="1440" w:header="720" w:footer="720" w:gutter="0"/>
          <w:cols w:space="720"/>
          <w:docGrid w:linePitch="360"/>
        </w:sectPr>
      </w:pPr>
      <w:r>
        <w:rPr>
          <w:b/>
        </w:rPr>
        <w:t>JEL</w:t>
      </w:r>
      <w:r w:rsidRPr="00C47481">
        <w:rPr>
          <w:b/>
        </w:rPr>
        <w:t>;</w:t>
      </w:r>
      <w:r w:rsidRPr="00C47481">
        <w:t xml:space="preserve"> </w:t>
      </w:r>
      <w:r>
        <w:t>Q54, Q24</w:t>
      </w:r>
    </w:p>
    <w:p w14:paraId="61FAA449" w14:textId="636ECDA2" w:rsidR="00065EE0" w:rsidRPr="00B22C80" w:rsidRDefault="0030065D" w:rsidP="00F96871">
      <w:pPr>
        <w:spacing w:line="240" w:lineRule="auto"/>
        <w:jc w:val="center"/>
        <w:rPr>
          <w:b/>
          <w:bCs/>
        </w:rPr>
      </w:pPr>
      <w:r>
        <w:rPr>
          <w:b/>
          <w:bCs/>
        </w:rPr>
        <w:lastRenderedPageBreak/>
        <w:t>Temperature</w:t>
      </w:r>
      <w:r w:rsidRPr="00F972D3">
        <w:rPr>
          <w:b/>
          <w:bCs/>
        </w:rPr>
        <w:t xml:space="preserve"> </w:t>
      </w:r>
      <w:r w:rsidR="00F972D3" w:rsidRPr="00F972D3">
        <w:rPr>
          <w:b/>
          <w:bCs/>
        </w:rPr>
        <w:t>Induced Yield Impacts and Geographic Shifts in US Alfalfa Production</w:t>
      </w:r>
    </w:p>
    <w:p w14:paraId="13CCA321" w14:textId="784E96A9" w:rsidR="00A1269F" w:rsidRDefault="00382D81" w:rsidP="00E408A0">
      <w:pPr>
        <w:pStyle w:val="Heading1"/>
      </w:pPr>
      <w:r>
        <w:t xml:space="preserve">1. </w:t>
      </w:r>
      <w:r w:rsidR="00A1269F" w:rsidRPr="00C47481">
        <w:t>Introduction</w:t>
      </w:r>
    </w:p>
    <w:p w14:paraId="6CF9AC45" w14:textId="11693A14" w:rsidR="00C92E50" w:rsidRPr="00C92E50" w:rsidRDefault="00C92E50" w:rsidP="00E408A0">
      <w:r w:rsidRPr="00E408A0">
        <w:t>The</w:t>
      </w:r>
      <w:r w:rsidRPr="00C92E50">
        <w:t xml:space="preserve"> Intergovernmental Panel on Climate Change (IPCC) has conclusively established that Earth's climate is undergoing significant changes due to the accumulation of greenhouse gases in the atmosphere</w:t>
      </w:r>
      <w:r w:rsidR="00E01798">
        <w:t xml:space="preserve"> </w:t>
      </w:r>
      <w:r w:rsidR="00E01798" w:rsidRPr="00C47481">
        <w:rPr>
          <w:color w:val="4472C4" w:themeColor="accent5"/>
        </w:rPr>
        <w:fldChar w:fldCharType="begin" w:fldLock="1"/>
      </w:r>
      <w:r w:rsidR="000D1791">
        <w:rPr>
          <w:color w:val="4472C4" w:themeColor="accent5"/>
        </w:rPr>
        <w:instrText xml:space="preserve"> ADDIN ZOTERO_ITEM CSL_CITATION {"citationID":"QUiaPC9V","properties":{"formattedCitation":"[1], [2]","plainCitation":"[1], [2]","noteIndex":0},"citationItems":[{"id":1440,"uris":["http://www.mendeley.com/documents/?uuid=4ff456d4-942c-3e6c-9a25-c7fdeeceb111","http://zotero.org/users/12297313/items/QSF7DSDX"],"itemData":{"id":1440,"type":"book","citation-key":"intergovernmentalpanelonclimatechangeipccClimateChange20072007","ISBN":"978-0-521-88010-7","number-of-pages":"976","publisher":"Cambridge University Press","publisher-place":"Cambridge","title":"Climate Change 2007: Impacts, Adaptation and Vulnerability. Contribution of Working Group II to the Fourth Assessment Report of the Intergovernmental Panel on Climate Change","URL":"http://www.cambridge.org/9780521880107","author":[{"literal":"Intergovernmental Panel on Climate Change (IPCC)"}],"editor":[{"family":"Parry","given":"M.L."},{"family":"Canziani","given":"O.F."},{"family":"Palutikof","given":"J.P."},{"family":"Linden","given":"P.J.","dropping-particle":"van der"},{"family":"Hanson","given":"C.E."}],"accessed":{"date-parts":[["2020",12,1]]},"issued":{"date-parts":[["2007"]]}}},{"id":1441,"uris":["http://www.mendeley.com/documents/?uuid=174c684e-8014-4982-bc46-6d4f5225e8da","http://zotero.org/users/12297313/items/3ZQZVQKW"],"itemData":{"id":1441,"type":"book","abstract":"This latest Fifth Assessment Report of the Intergovernmental Panel on Climate Change (IPCC) will again form the standard scientific reference for all those concerned with climate change and its consequences, including students and researchers in environmental science, meteorology, climatology, biology, ecology and atmospheric chemistry. It provides invaluable material for decision makers and stakeholders: international, national, local; and in all branches: government, businesses, and NGOs. This volume provides: An authoritative and unbiased overview of the physical science basis of climate change • A more extensive assessment of changes observed throughout the climate system than ever before • New dedicated chapters on sea-level change, biogeochemical cycles, clouds and aerosols, and regional climate phenomena • A more extensive coverage of model projections, both near-term and long-term climate projections • A detailed assessment of climate change observations, modelling, and attribution for every continent • A new comprehensive atlas of global and regional climate projections for 35 regions of the world.","citation-key":"intergovernmentalpanelonclimatechangeipccClimateChange20132013","DOI":"10.1017/CBO9781107415324","ISBN":"978-1-107-41532-4","number-of-pages":"1535","publisher":"Cambridge University Press","publisher-place":"Cambridge","title":"Climate Change 2013 the Physical Science Basis: Working Group I Contribution to the Fifth Assessment Report of the Intergovernmental Panel on Climate Change","URL":"http://ebooks.cambridge.org/ref/id/CBO9781107415324","author":[{"literal":"Intergovernmental Panel on Climate Change (IPCC)"}],"editor":[{"family":"Stocker","given":"Thomas F."},{"family":"Qin","given":"Dahe"},{"family":"Plattner","given":"Gian Kasper"},{"family":"Tignor","given":"Melinda M.B."},{"family":"Allen","given":"Simon K."},{"family":"Boschung","given":"Judith"},{"family":"Nauels","given":"Alexander"},{"family":"Xia","given":"Yu"},{"family":"Bex","given":"Vincent"},{"family":"Midgley","given":"Pauline M."}],"issued":{"date-parts":[["2013"]]}}}],"schema":"https://github.com/citation-style-language/schema/raw/master/csl-citation.json"} </w:instrText>
      </w:r>
      <w:r w:rsidR="00E01798" w:rsidRPr="00C47481">
        <w:rPr>
          <w:color w:val="4472C4" w:themeColor="accent5"/>
        </w:rPr>
        <w:fldChar w:fldCharType="separate"/>
      </w:r>
      <w:r w:rsidR="000D1791" w:rsidRPr="000D1791">
        <w:t>[1], [2]</w:t>
      </w:r>
      <w:r w:rsidR="00E01798" w:rsidRPr="00C47481">
        <w:rPr>
          <w:color w:val="4472C4" w:themeColor="accent5"/>
        </w:rPr>
        <w:fldChar w:fldCharType="end"/>
      </w:r>
      <w:r w:rsidRPr="00C92E50">
        <w:t>. These changes pose a threat to agriculture, evidenced by rising temperatures</w:t>
      </w:r>
      <w:r w:rsidR="006F34DA">
        <w:t xml:space="preserve"> </w:t>
      </w:r>
      <w:r w:rsidR="001B7570">
        <w:fldChar w:fldCharType="begin"/>
      </w:r>
      <w:r w:rsidR="000D1791">
        <w:instrText xml:space="preserve"> ADDIN ZOTERO_ITEM CSL_CITATION {"citationID":"93HYrI7G","properties":{"formattedCitation":"[3]","plainCitation":"[3]","noteIndex":0},"citationItems":[{"id":"h6RDF2am/qdMxUdle","uris":["http://zotero.org/users/17422379/items/KV8XGG7V"],"itemData":{"id":149,"type":"article-journal","abstract":"Efforts to anticipate how climate change will affect future food availability can benefit from understanding the impacts of changes to date. We found that in the cropping regions and growing seasons of most countries, with the important exception of the United States, temperature trends from 1980 to 2008 exceeded one standard deviation of historic year-to-year variability. Models that link yields of the four largest commodity crops to weather indicate that global maize and wheat production declined by 3.8 and 5.5%, respectively, relative to a counterfactual without climate trends. For soybeans and rice, winners and losers largely balanced out. Climate trends were large enough in some countries to offset a significant portion of the increases in average yields that arose from technology, carbon dioxide fertilization, and other factors.","container-title":"Science","DOI":"10.1126/science.1204531","issue":"6042","page":"616-620","publisher":"American Association for the Advancement of Science","source":"science.org (Atypon)","title":"Climate Trends and Global Crop Production Since 1980","volume":"333","author":[{"family":"Lobell","given":"David B."},{"family":"Schlenker","given":"Wolfram"},{"family":"Costa-Roberts","given":"Justin"}],"issued":{"date-parts":[["2011",7,29]]}}}],"schema":"https://github.com/citation-style-language/schema/raw/master/csl-citation.json"} </w:instrText>
      </w:r>
      <w:r w:rsidR="001B7570">
        <w:fldChar w:fldCharType="separate"/>
      </w:r>
      <w:r w:rsidR="000D1791" w:rsidRPr="000D1791">
        <w:t>[3]</w:t>
      </w:r>
      <w:r w:rsidR="001B7570">
        <w:fldChar w:fldCharType="end"/>
      </w:r>
      <w:r w:rsidR="00F33355" w:rsidRPr="001C599A">
        <w:t>,</w:t>
      </w:r>
      <w:r w:rsidRPr="00C92E50">
        <w:t xml:space="preserve"> shifting precipitation patterns</w:t>
      </w:r>
      <w:r w:rsidR="002A1937">
        <w:t xml:space="preserve"> </w:t>
      </w:r>
      <w:r w:rsidR="001B7570">
        <w:fldChar w:fldCharType="begin"/>
      </w:r>
      <w:r w:rsidR="000D1791">
        <w:instrText xml:space="preserve"> ADDIN ZOTERO_ITEM CSL_CITATION {"citationID":"IoO20a7B","properties":{"formattedCitation":"[4]","plainCitation":"[4]","noteIndex":0},"citationItems":[{"id":"h6RDF2am/BdxPasa3","uris":["http://zotero.org/users/17422379/items/HR6MXNYL"],"itemData":{"id":148,"type":"article-journal","abstract":"Global warming is one of the greatest threats to the social development of human beings. It is a typical example of global climate change, and has profoundly affected human production and life in various aspects. As the foundation of human existence, agricultural production is particularly vulnerable to climate change, which has altered environmental factors such as temperature, precipitation, and wind speed, and affected crop growth cycles, the frequency of extreme weather events, and the occurrence patterns of pests and diseases directly or indirectly, ultimately influencing crop yield and quality. This article reviews the latest research progress in this field, summarizes the impact of global climate change on agricultural production as well as the feedback mechanisms of agricultural activities on climate change, and proposes strategies for agricultural production to cope with global climate change. This paper aims to provide a scientific basis and suggestions for ensuring the sustainable development of agricultural production.","container-title":"Agronomy","DOI":"10.3390/agronomy14071360","ISSN":"2073-4395","issue":"7","language":"en","license":"http://creativecommons.org/licenses/by/3.0/","page":"1360","publisher":"Multidisciplinary Digital Publishing Institute","source":"www.mdpi.com","title":"Impacts of Global Climate Change on Agricultural Production: A Comprehensive Review","title-short":"Impacts of Global Climate Change on Agricultural Production","volume":"14","author":[{"family":"Yuan","given":"Xiangning"},{"family":"Li","given":"Sien"},{"family":"Chen","given":"Jinliang"},{"family":"Yu","given":"Haichao"},{"family":"Yang","given":"Tianyi"},{"family":"Wang","given":"Chunyu"},{"family":"Huang","given":"Siyu"},{"family":"Chen","given":"Haochong"},{"family":"Ao","given":"Xiang"}],"issued":{"date-parts":[["2024",7]]}}}],"schema":"https://github.com/citation-style-language/schema/raw/master/csl-citation.json"} </w:instrText>
      </w:r>
      <w:r w:rsidR="001B7570">
        <w:fldChar w:fldCharType="separate"/>
      </w:r>
      <w:r w:rsidR="000D1791" w:rsidRPr="000D1791">
        <w:t>[4]</w:t>
      </w:r>
      <w:r w:rsidR="001B7570">
        <w:fldChar w:fldCharType="end"/>
      </w:r>
      <w:r w:rsidR="00F33355">
        <w:t>,</w:t>
      </w:r>
      <w:r w:rsidRPr="00C92E50">
        <w:t xml:space="preserve"> extreme weather events</w:t>
      </w:r>
      <w:r w:rsidR="002A1937">
        <w:t xml:space="preserve"> </w:t>
      </w:r>
      <w:r w:rsidR="001B7570">
        <w:fldChar w:fldCharType="begin"/>
      </w:r>
      <w:r w:rsidR="000D1791">
        <w:instrText xml:space="preserve"> ADDIN ZOTERO_ITEM CSL_CITATION {"citationID":"RaB2y98s","properties":{"formattedCitation":"[5]","plainCitation":"[5]","noteIndex":0},"citationItems":[{"id":"h6RDF2am/QdPPMLuS","uris":["http://zotero.org/users/17422379/items/YTKPRZWE"],"itemData":{"id":147,"type":"article-journal","abstract":"Analyses of the effects of extreme weather disasters on global crop production over the past five decades show that drought and extreme heat reduced national cereal production by 9–10%, whereas no discernible effect at the national level was seen for floods and extreme cold; droughts affect yields and the harvested area, whereas extreme heat mainly affects yields.","container-title":"Nature","DOI":"10.1038/nature16467","ISSN":"1476-4687","issue":"7584","language":"en","license":"2016 Springer Nature Limited","page":"84-87","publisher":"Nature Publishing Group","source":"www.nature.com","title":"Influence of extreme weather disasters on global crop production","volume":"529","author":[{"family":"Lesk","given":"Corey"},{"family":"Rowhani","given":"Pedram"},{"family":"Ramankutty","given":"Navin"}],"issued":{"date-parts":[["2016",1]]}}}],"schema":"https://github.com/citation-style-language/schema/raw/master/csl-citation.json"} </w:instrText>
      </w:r>
      <w:r w:rsidR="001B7570">
        <w:fldChar w:fldCharType="separate"/>
      </w:r>
      <w:r w:rsidR="000D1791" w:rsidRPr="000D1791">
        <w:t>[5]</w:t>
      </w:r>
      <w:r w:rsidR="001B7570">
        <w:fldChar w:fldCharType="end"/>
      </w:r>
      <w:r w:rsidRPr="00C92E50">
        <w:t>, and dwindling water supplies</w:t>
      </w:r>
      <w:r w:rsidR="002A1937">
        <w:t xml:space="preserve"> </w:t>
      </w:r>
      <w:r w:rsidR="001B7570">
        <w:fldChar w:fldCharType="begin"/>
      </w:r>
      <w:r w:rsidR="000D1791">
        <w:instrText xml:space="preserve"> ADDIN ZOTERO_ITEM CSL_CITATION {"citationID":"khuxnWlH","properties":{"formattedCitation":"[6]","plainCitation":"[6]","noteIndex":0},"citationItems":[{"id":"h6RDF2am/CGG6qDn2","uris":["http://zotero.org/users/17422379/items/XXCZLYX4"],"itemData":{"id":116,"type":"article-journal","abstract":"Agricultural water scarcity will intensify in more than 80% of global croplands\n\nDecreased water availability dominates the aggravation of future water scarcity globally\n\nGreen water have a signif...","DOI":"10.1029/2021EF002567","language":"en","source":"agupubs.onlinelibrary.wiley.com","title":"Global Agricultural Water Scarcity Assessment Incorporating Blue and Green Water Availability Under Future Climate Change","URL":"https://agupubs.onlinelibrary.wiley.com/doi/10.1029/2021EF002567","author":[{"family":"Liu","given":"Xingcai"},{"family":"Liu","given":"Wenfeng"},{"family":"Tang","given":"Qiuhong"},{"family":"Liu","given":"Bo"},{"family":"Wada","given":"Yoshihide"},{"family":"Yang","given":"Hong"}],"accessed":{"date-parts":[["2026",6,8]]},"issued":{"date-parts":[["2022"]]}}}],"schema":"https://github.com/citation-style-language/schema/raw/master/csl-citation.json"} </w:instrText>
      </w:r>
      <w:r w:rsidR="001B7570">
        <w:fldChar w:fldCharType="separate"/>
      </w:r>
      <w:r w:rsidR="000D1791" w:rsidRPr="000D1791">
        <w:t>[6]</w:t>
      </w:r>
      <w:r w:rsidR="001B7570">
        <w:fldChar w:fldCharType="end"/>
      </w:r>
      <w:r w:rsidRPr="00C92E50">
        <w:t>. Empirical studies have consistently shown that these climatic shifts result in a marked decrease in the yields of feed grains</w:t>
      </w:r>
      <w:r w:rsidR="00E01798">
        <w:t xml:space="preserve"> </w:t>
      </w:r>
      <w:r w:rsidR="00E01798" w:rsidRPr="00C47481">
        <w:rPr>
          <w:color w:val="4472C4" w:themeColor="accent5"/>
        </w:rPr>
        <w:fldChar w:fldCharType="begin" w:fldLock="1"/>
      </w:r>
      <w:r w:rsidR="000D1791">
        <w:rPr>
          <w:color w:val="4472C4" w:themeColor="accent5"/>
        </w:rPr>
        <w:instrText xml:space="preserve"> ADDIN ZOTERO_ITEM CSL_CITATION {"citationID":"bs9DXaPi","properties":{"formattedCitation":"[7], [8], [9], [10], [11]","plainCitation":"[7], [8], [9], [10], [11]","noteIndex":0},"citationItems":[{"id":2166,"uris":["http://www.mendeley.com/documents/?uuid=fa807162-75c4-4697-aae1-b8f6f31dba55","http://zotero.org/users/12297313/items/GYI8WSER"],"itemData":{"id":2166,"type":"article-journal","abstract":"The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id":1628,"uris":["http://www.mendeley.com/documents/?uuid=1575b9ce-d124-47d1-9f59-97c5b262c104","http://zotero.org/users/12297313/items/HZRK8XVL"],"itemData":{"id":1628,"type":"article-journal","citation-key":"zhangEconomicImpactsClimate2017","container-title":"Journal of Environmental Economics and Management","DOI":"10.1016/j.jeem.2016.12.001","ISSN":"00950696","page":"8-31","title":"Economic impacts of climate change on agriculture: The importance of additional climatic variables other than temperature and precipitation","volume":"83","author":[{"family":"Zhang","given":"Peng"},{"family":"Zhang","given":"Junjie"},{"family":"Chen","given":"Minpeng"}],"issued":{"date-parts":[["2017",5]]}}},{"id":1629,"uris":["http://www.mendeley.com/documents/?uuid=59a81fc6-3520-4289-a58b-55dd0f410397","http://zotero.org/users/12297313/items/X55UZXW4"],"itemData":{"id":1629,"type":"article-journal","citation-key":"shewYieldReductionClimate2020","container-title":"Nature Communications","DOI":"10.1038/s41467-020-18317-8","ISSN":"2041-1723","issue":"1","page":"4408","title":"Yield reduction under climate warming varies among wheat cultivars in South Africa","volume":"11","author":[{"family":"Shew","given":"Aaron M."},{"family":"Tack","given":"Jesse B."},{"family":"Nalley","given":"Lawton L."},{"family":"Chaminuka","given":"Petronella"}],"issued":{"date-parts":[["2020",12,2]]}}},{"id":1431,"uris":["http://www.mendeley.com/documents/?uuid=08152c63-e413-42ff-9d84-99f693554e55","http://zotero.org/users/12297313/items/XPV45FYA"],"itemData":{"id":1431,"type":"article-journal","citation-key":"malikovDistributionalTemporalHeterogeneity2020","container-title":"Journal of Environmental Economics and Management","DOI":"10.1016/j.jeem.2020.102386","ISSN":"00950696","page":"102386","title":"Distributional and temporal heterogeneity in the climate change effects on U.S. agriculture","volume":"104","author":[{"family":"Malikov","given":"Emir"},{"family":"Miao","given":"Ruiqing"},{"family":"Zhang","given":"Jingfang"}],"issued":{"date-parts":[["2020",11]]}}}],"schema":"https://github.com/citation-style-language/schema/raw/master/csl-citation.json"} </w:instrText>
      </w:r>
      <w:r w:rsidR="00E01798" w:rsidRPr="00C47481">
        <w:rPr>
          <w:color w:val="4472C4" w:themeColor="accent5"/>
        </w:rPr>
        <w:fldChar w:fldCharType="separate"/>
      </w:r>
      <w:r w:rsidR="000D1791" w:rsidRPr="000D1791">
        <w:t>[7], [8], [9], [10], [11]</w:t>
      </w:r>
      <w:r w:rsidR="00E01798" w:rsidRPr="00C47481">
        <w:rPr>
          <w:color w:val="4472C4" w:themeColor="accent5"/>
        </w:rPr>
        <w:fldChar w:fldCharType="end"/>
      </w:r>
      <w:r w:rsidRPr="00C92E50">
        <w:t>. There has been less research on how these changes might also impact pasture and feed supplies, as well as the quality of forage available to grazing livestock, though the existing studies suggest a negative effect</w:t>
      </w:r>
      <w:r w:rsidR="006E2544">
        <w:t xml:space="preserve"> </w:t>
      </w:r>
      <w:r w:rsidR="006E2544" w:rsidRPr="00C47481">
        <w:rPr>
          <w:rFonts w:eastAsia="Times New Roman"/>
          <w:color w:val="4472C4" w:themeColor="accent5"/>
        </w:rPr>
        <w:fldChar w:fldCharType="begin" w:fldLock="1"/>
      </w:r>
      <w:r w:rsidR="000D1791">
        <w:rPr>
          <w:rFonts w:eastAsia="Times New Roman"/>
          <w:color w:val="4472C4" w:themeColor="accent5"/>
        </w:rPr>
        <w:instrText xml:space="preserve"> ADDIN ZOTERO_ITEM CSL_CITATION {"citationID":"6zdC5hgb","properties":{"formattedCitation":"[12]","plainCitation":"[12]","noteIndex":0},"citationItems":[{"id":1627,"uris":["http://www.mendeley.com/documents/?uuid=84fa7400-1d5b-47eb-8309-b832c849f2da","http://zotero.org/users/12297313/items/J5CBGHHJ"],"itemData":{"id":1627,"type":"article-journal","abstract":"It is well documented that global warming is unequivocal. Dairy production systems are considered as important sources of greenhouse gas emissions; however, little is known about the sensitivity and vulnerability of these production systems themselves to climate warming. This review brings different aspects of dairy cow production in Central Europe into focus, with a holistic approach to emphasize potential future consequences and challenges arising from climate change. With the current understanding of the effects of climate change, it is expected that yield of forage per hectare will be influenced positively, whereas quality will mainly depend on water availability and soil characteristics. Thus, the botanical composition of future grassland should include species that are able to withstand the changing conditions (e.g. lucerne and bird's foot trefoil). Changes in nutrient concentration of forage plants, elevated heat loads and altered feeding patterns of animals may influence rumen physiology. Several promising nutritional strategies are available to lower potential negative impacts of climate change on dairy cow nutrition and performance. Adjustment of feeding and drinking regimes, diet composition and additive supplementation can contribute to the maintenance of adequate dairy cow nutrition and performance. Provision of adequate shade and cooling will reduce the direct effects of heat stress. As estimated genetic parameters are promising, heat stress tolerance as a functional trait may be included into breeding programmes. Indirect effects of global warming on the health and welfare of animals seem to be more complicated and thus are less predictable. As the epidemiology of certain gastrointestinal nematodes and liver fluke is favourably influenced by increased temperature and humidity, relations between climate change and disease dynamics should be followed closely. Under current conditions, climate change associated economic impacts are estimated to be neutral if some form of adaptation is integrated. Therefore, it is essential to establish and adopt mitigation strategies covering available tools from management, nutrition, health and plant and animal breeding to cope with the future consequences of climate change on dairy farming. Copyright © The Animal Consortium 2012.","citation-key":"gaulyFutureConsequencesChallenges2013","container-title":"Animal","DOI":"10.1017/S1751731112002352","ISSN":"17517311","issue":"5","page":"843-859","PMID":"23253935","title":"Future consequences and challenges for dairy cow production systems arising from climate change in Central Europe – a review","volume":"7","author":[{"family":"Gauly","given":"M."},{"family":"Bollwein","given":"H."},{"family":"Breves","given":"G."},{"family":"Brügemann","given":"K."},{"family":"Dänicke","given":"S."},{"family":"Daş","given":"G."},{"family":"Demeler","given":"J."},{"family":"Hansen","given":"H."},{"family":"Isselstein","given":"J."},{"family":"König","given":"S."},{"family":"Lohölter","given":"M."},{"family":"Martinsohn","given":"M."},{"family":"Meyer","given":"U."},{"family":"Potthoff","given":"M."},{"family":"Sanker","given":"C."},{"family":"Schröder","given":"B."},{"family":"Wrage","given":"N."},{"family":"Meibaum","given":"B."},{"family":"Samson-Himmelstjerna","given":"G.","non-dropping-particle":"von"},{"family":"Stinshoff","given":"H."},{"family":"Wrenzycki","given":"C."}],"issued":{"date-parts":[["2013"]]}}}],"schema":"https://github.com/citation-style-language/schema/raw/master/csl-citation.json"} </w:instrText>
      </w:r>
      <w:r w:rsidR="006E2544" w:rsidRPr="00C47481">
        <w:rPr>
          <w:rFonts w:eastAsia="Times New Roman"/>
          <w:color w:val="4472C4" w:themeColor="accent5"/>
        </w:rPr>
        <w:fldChar w:fldCharType="separate"/>
      </w:r>
      <w:r w:rsidR="000D1791" w:rsidRPr="000D1791">
        <w:t>[12]</w:t>
      </w:r>
      <w:r w:rsidR="006E2544" w:rsidRPr="00C47481">
        <w:rPr>
          <w:rFonts w:eastAsia="Times New Roman"/>
          <w:color w:val="4472C4" w:themeColor="accent5"/>
        </w:rPr>
        <w:fldChar w:fldCharType="end"/>
      </w:r>
      <w:r w:rsidRPr="00C92E50">
        <w:t>.</w:t>
      </w:r>
    </w:p>
    <w:p w14:paraId="72CBFC78" w14:textId="46CDD69B" w:rsidR="00C92E50" w:rsidRDefault="00C92E50" w:rsidP="00E408A0">
      <w:r w:rsidRPr="00C92E50">
        <w:t>The occurrence of longer and more severe droughts, driven by higher summer temperatures and reduced rainfall in certain regions, could compel ranchers to seek alternative feed sources</w:t>
      </w:r>
      <w:r w:rsidR="00C7658F">
        <w:t xml:space="preserve"> </w:t>
      </w:r>
      <w:r w:rsidR="00C7658F" w:rsidRPr="00C47481">
        <w:rPr>
          <w:rFonts w:eastAsia="Times New Roman"/>
          <w:color w:val="4472C4" w:themeColor="accent5"/>
        </w:rPr>
        <w:fldChar w:fldCharType="begin" w:fldLock="1"/>
      </w:r>
      <w:r w:rsidR="000D1791">
        <w:rPr>
          <w:rFonts w:eastAsia="Times New Roman"/>
          <w:color w:val="4472C4" w:themeColor="accent5"/>
        </w:rPr>
        <w:instrText xml:space="preserve"> ADDIN ZOTERO_ITEM CSL_CITATION {"citationID":"0e1A1MCb","properties":{"formattedCitation":"[13]","plainCitation":"[13]","noteIndex":0},"citationItems":[{"id":1626,"uris":["http://www.mendeley.com/documents/?uuid=65d7f644-a72c-43d7-ab3b-689481270eaa","http://zotero.org/users/12297313/items/FCNZ8UXT"],"itemData":{"id":1626,"type":"webpage","citation-key":"kemperImpact2012Drought2013","container-title":"Department of Agriculture, Research and Extension, University of Arkansas System","title":"Impact of the 2012 Drought on Field Crops and Cattle Production in Arkansas - Preliminary Report","author":[{"family":"Kemper","given":"Nathan"},{"family":"Flanders","given":"Archie"},{"family":"Watkins","given":"Brad"},{"family":"Popp","given":"Michael"}],"issued":{"date-parts":[["2013"]]}}}],"schema":"https://github.com/citation-style-language/schema/raw/master/csl-citation.json"} </w:instrText>
      </w:r>
      <w:r w:rsidR="00C7658F" w:rsidRPr="00C47481">
        <w:rPr>
          <w:rFonts w:eastAsia="Times New Roman"/>
          <w:color w:val="4472C4" w:themeColor="accent5"/>
        </w:rPr>
        <w:fldChar w:fldCharType="separate"/>
      </w:r>
      <w:r w:rsidR="000D1791" w:rsidRPr="000D1791">
        <w:t>[13]</w:t>
      </w:r>
      <w:r w:rsidR="00C7658F" w:rsidRPr="00C47481">
        <w:rPr>
          <w:rFonts w:eastAsia="Times New Roman"/>
          <w:color w:val="4472C4" w:themeColor="accent5"/>
        </w:rPr>
        <w:fldChar w:fldCharType="end"/>
      </w:r>
      <w:r w:rsidRPr="00C92E50">
        <w:t>. This situation is exacerbated by the competition between livestock and humans for major grain crops</w:t>
      </w:r>
      <w:r w:rsidR="0037571A">
        <w:t xml:space="preserve"> </w:t>
      </w:r>
      <w:r w:rsidR="00A74948">
        <w:fldChar w:fldCharType="begin"/>
      </w:r>
      <w:r w:rsidR="000D1791">
        <w:instrText xml:space="preserve"> ADDIN ZOTERO_ITEM CSL_CITATION {"citationID":"vRvuWQFw","properties":{"formattedCitation":"[14]","plainCitation":"[14]","noteIndex":0},"citationItems":[{"id":"h6RDF2am/szBTzX4y","uris":["http://zotero.org/users/17422379/items/V3K776BM"],"itemData":{"id":124,"type":"article-journal","abstract":"Livestock contribute to food security by supplying essential macro- and micro-nutrients, providing manure and draught power, and generating income. But they also consume food edible by humans and graze on pastures that could be used for crop production. Livestock, especially ruminants, are often seen as poor converters of feed into food products. This paper analyses global livestock feed rations and feed conversion ratios, with specific insight on the diversity in production systems and feed materials. Results estimate that livestock consume 6 billion tonnes of feed (dry matter) annually – including one third of global cereal production – of which 86% is made of materials that are currently not eaten by humans. In addition, soybean cakes, which production can be considered as main driver or land-use, represent 4% of the global livestock feed intake. Producing 1kg of boneless meat requires an average of 2.8kg human-edible feed in ruminant systems and 3.2kg in monogastric systems. While livestock is estimated to use 2.5 billion ha of land, modest improvements in feed use efficiency can reduce further expansion.","collection-title":"Food Security Governance in Latin America","container-title":"Global Food Security","DOI":"10.1016/j.gfs.2017.01.001","ISSN":"2211-9124","journalAbbreviation":"Global Food Security","page":"1-8","source":"ScienceDirect","title":"Livestock: On our plates or eating at our table? A new analysis of the feed/food debate","title-short":"Livestock","volume":"14","author":[{"family":"Mottet","given":"Anne"},{"family":"Haan","given":"Cees","non-dropping-particle":"de"},{"family":"Falcucci","given":"Alessandra"},{"family":"Tempio","given":"Giuseppe"},{"family":"Opio","given":"Carolyn"},{"family":"Gerber","given":"Pierre"}],"issued":{"date-parts":[["2017",9,1]]}}}],"schema":"https://github.com/citation-style-language/schema/raw/master/csl-citation.json"} </w:instrText>
      </w:r>
      <w:r w:rsidR="00A74948">
        <w:fldChar w:fldCharType="separate"/>
      </w:r>
      <w:r w:rsidR="000D1791" w:rsidRPr="000D1791">
        <w:t>[14]</w:t>
      </w:r>
      <w:r w:rsidR="00A74948">
        <w:fldChar w:fldCharType="end"/>
      </w:r>
      <w:r w:rsidRPr="00C92E50">
        <w:t xml:space="preserve"> highlighting the importance of understanding how climate change might affect forage production. This has both direct implications (through grain consumption) and indirect implications (through livestock consumption) </w:t>
      </w:r>
      <w:r w:rsidR="00F23936" w:rsidRPr="00C92E50">
        <w:t>for</w:t>
      </w:r>
      <w:r w:rsidRPr="00C92E50">
        <w:t xml:space="preserve"> domestic food availability and exports. Additionally, climate change could shift the geographic distribution of forage crops, potentially increasing the costs of livestock feeding. For </w:t>
      </w:r>
      <w:r w:rsidR="00E01798" w:rsidRPr="00C92E50">
        <w:t>rancher’s</w:t>
      </w:r>
      <w:r w:rsidRPr="00C92E50">
        <w:t xml:space="preserve"> dependent on feed grains, either as a supplement or replacement for pasture grazing, changes in forage production due to drought could lead to increased production costs due to higher feed grain prices and the escalated costs of searching for and transporting feed</w:t>
      </w:r>
      <w:r w:rsidR="00C7658F">
        <w:t xml:space="preserve"> </w:t>
      </w:r>
      <w:r w:rsidR="00C7658F" w:rsidRPr="00C47481">
        <w:rPr>
          <w:rFonts w:eastAsia="Times New Roman"/>
          <w:color w:val="4472C4" w:themeColor="accent5"/>
        </w:rPr>
        <w:fldChar w:fldCharType="begin" w:fldLock="1"/>
      </w:r>
      <w:r w:rsidR="000D1791">
        <w:rPr>
          <w:rFonts w:eastAsia="Times New Roman"/>
          <w:color w:val="4472C4" w:themeColor="accent5"/>
        </w:rPr>
        <w:instrText xml:space="preserve"> ADDIN ZOTERO_ITEM CSL_CITATION {"citationID":"yq4jHB0N","properties":{"formattedCitation":"[13]","plainCitation":"[13]","noteIndex":0},"citationItems":[{"id":1626,"uris":["http://www.mendeley.com/documents/?uuid=65d7f644-a72c-43d7-ab3b-689481270eaa","http://zotero.org/users/12297313/items/FCNZ8UXT"],"itemData":{"id":1626,"type":"webpage","citation-key":"kemperImpact2012Drought2013","container-title":"Department of Agriculture, Research and Extension, University of Arkansas System","title":"Impact of the 2012 Drought on Field Crops and Cattle Production in Arkansas - Preliminary Report","author":[{"family":"Kemper","given":"Nathan"},{"family":"Flanders","given":"Archie"},{"family":"Watkins","given":"Brad"},{"family":"Popp","given":"Michael"}],"issued":{"date-parts":[["2013"]]}}}],"schema":"https://github.com/citation-style-language/schema/raw/master/csl-citation.json"} </w:instrText>
      </w:r>
      <w:r w:rsidR="00C7658F" w:rsidRPr="00C47481">
        <w:rPr>
          <w:rFonts w:eastAsia="Times New Roman"/>
          <w:color w:val="4472C4" w:themeColor="accent5"/>
        </w:rPr>
        <w:fldChar w:fldCharType="separate"/>
      </w:r>
      <w:r w:rsidR="000D1791" w:rsidRPr="000D1791">
        <w:t>[13]</w:t>
      </w:r>
      <w:r w:rsidR="00C7658F" w:rsidRPr="00C47481">
        <w:rPr>
          <w:rFonts w:eastAsia="Times New Roman"/>
          <w:color w:val="4472C4" w:themeColor="accent5"/>
        </w:rPr>
        <w:fldChar w:fldCharType="end"/>
      </w:r>
      <w:r w:rsidRPr="00C92E50">
        <w:t>.</w:t>
      </w:r>
    </w:p>
    <w:p w14:paraId="4BC74CCC" w14:textId="2C42446C" w:rsidR="00D22195" w:rsidRDefault="00D22195" w:rsidP="00E408A0">
      <w:r>
        <w:t xml:space="preserve">Alfalfa production in the United States is a pivotal case study for exploring the effects of climate change on livestock feed. </w:t>
      </w:r>
      <w:r w:rsidR="005E70C5" w:rsidRPr="005E70C5">
        <w:t xml:space="preserve">The U.S. livestock industry ranks among the largest in the world, and its </w:t>
      </w:r>
      <w:r w:rsidR="005E70C5" w:rsidRPr="005E70C5">
        <w:lastRenderedPageBreak/>
        <w:t>size and economic importance make the stability of domestic forage supply a matter of national agricultural consequence, not merely a regional agronomic concern</w:t>
      </w:r>
      <w:r w:rsidR="00B81578">
        <w:t xml:space="preserve">. </w:t>
      </w:r>
      <w:r>
        <w:t xml:space="preserve">The growth and scale of the U.S. livestock sector depend significantly on the availability and production of feed grains and forage crops </w:t>
      </w:r>
      <w:r w:rsidRPr="00C47481">
        <w:rPr>
          <w:rFonts w:eastAsia="Times New Roman"/>
          <w:color w:val="4472C4" w:themeColor="accent5"/>
        </w:rPr>
        <w:fldChar w:fldCharType="begin" w:fldLock="1"/>
      </w:r>
      <w:r w:rsidR="000D1791">
        <w:rPr>
          <w:rFonts w:eastAsia="Times New Roman"/>
          <w:color w:val="4472C4" w:themeColor="accent5"/>
        </w:rPr>
        <w:instrText xml:space="preserve"> ADDIN ZOTERO_ITEM CSL_CITATION {"citationID":"cfGujKgl","properties":{"formattedCitation":"[15], [16]","plainCitation":"[15], [16]","noteIndex":0},"citationItems":[{"id":1438,"uris":["http://www.mendeley.com/documents/?uuid=99b8232f-f738-4a95-bae3-2cd21491aa2f","http://zotero.org/users/12297313/items/FKX2NCWQ"],"itemData":{"id":1438,"type":"article-journal","citation-key":"simmonsPerformanceLivestockFeedGrainSector1966","container-title":"Journal of Farm Economics","DOI":"10.2307/1237161","ISSN":"10711031","issue":"5","page":"1455","title":"Performance of the Livestock-Feed-Grain Sector","volume":"48","author":[{"family":"Simmons","given":"Will M."},{"family":"Rizek","given":"Robert L."}],"issued":{"date-parts":[["1966",12]]}}},{"id":1437,"uris":["http://www.mendeley.com/documents/?uuid=c2fb5aeb-732d-47f7-8cb8-6cc49eb41a34","http://zotero.org/users/12297313/items/PUKFJ3EU"],"itemData":{"id":1437,"type":"article-journal","abstract":"A systems econometric model of the livestock (beef and pork), poultry (broiler), and corn sectors was estimated to evaluate cross-sector relationships. The equilibrium multipliers and comparative statics indicate unequal cross-effects of market disturbances, e.g., shocks in the livestock and poultry markets impact corn demand and supply more than shocks in the corn market impact livestock and poultry demands and supplies. Recent 2003 mad cow disease (BSE) problems in Canada and the United States display nontrivial cross-effects. For example, the BSE occurrences reduce real corn revenue in the United States by $0.62 billion, or 5.0% of its 2003 revenue. Copyright 2007 Western Agricultural Economics Association.","citation-key":"marshCrosssectorRelationshipsCorn2007","container-title":"Journal of Agricultural and Resource Economics","issue":"1","page":"93-114","title":"Cross-sector relationships between the corn feed grains and livestock and poultry economies","volume":"32","author":[{"family":"Marsh","given":"John M."}],"issued":{"date-parts":[["2007"]]}}}],"schema":"https://github.com/citation-style-language/schema/raw/master/csl-citation.json"} </w:instrText>
      </w:r>
      <w:r w:rsidRPr="00C47481">
        <w:rPr>
          <w:rFonts w:eastAsia="Times New Roman"/>
          <w:color w:val="4472C4" w:themeColor="accent5"/>
        </w:rPr>
        <w:fldChar w:fldCharType="separate"/>
      </w:r>
      <w:r w:rsidR="000D1791" w:rsidRPr="000D1791">
        <w:t>[15], [16]</w:t>
      </w:r>
      <w:r w:rsidRPr="00C47481">
        <w:rPr>
          <w:rFonts w:eastAsia="Times New Roman"/>
          <w:color w:val="4472C4" w:themeColor="accent5"/>
        </w:rPr>
        <w:fldChar w:fldCharType="end"/>
      </w:r>
      <w:r>
        <w:t xml:space="preserve">. This dependency was dramatically highlighted by the nationwide drought in 2012, which severely degraded over 70% of U.S. pasturelands and led to a significant decrease in cow-calf returns, dropping more than $100 per cow </w:t>
      </w:r>
      <w:r w:rsidRPr="00C47481">
        <w:rPr>
          <w:rFonts w:eastAsia="Times New Roman"/>
          <w:color w:val="4472C4" w:themeColor="accent5"/>
        </w:rPr>
        <w:fldChar w:fldCharType="begin" w:fldLock="1"/>
      </w:r>
      <w:r w:rsidR="000D1791">
        <w:rPr>
          <w:rFonts w:eastAsia="Times New Roman"/>
          <w:color w:val="4472C4" w:themeColor="accent5"/>
        </w:rPr>
        <w:instrText xml:space="preserve"> ADDIN ZOTERO_ITEM CSL_CITATION {"citationID":"yH4pHLBS","properties":{"formattedCitation":"[13]","plainCitation":"[13]","noteIndex":0},"citationItems":[{"id":1626,"uris":["http://www.mendeley.com/documents/?uuid=65d7f644-a72c-43d7-ab3b-689481270eaa","http://zotero.org/users/12297313/items/FCNZ8UXT"],"itemData":{"id":1626,"type":"webpage","citation-key":"kemperImpact2012Drought2013","container-title":"Department of Agriculture, Research and Extension, University of Arkansas System","title":"Impact of the 2012 Drought on Field Crops and Cattle Production in Arkansas - Preliminary Report","author":[{"family":"Kemper","given":"Nathan"},{"family":"Flanders","given":"Archie"},{"family":"Watkins","given":"Brad"},{"family":"Popp","given":"Michael"}],"issued":{"date-parts":[["2013"]]}}}],"schema":"https://github.com/citation-style-language/schema/raw/master/csl-citation.json"} </w:instrText>
      </w:r>
      <w:r w:rsidRPr="00C47481">
        <w:rPr>
          <w:rFonts w:eastAsia="Times New Roman"/>
          <w:color w:val="4472C4" w:themeColor="accent5"/>
        </w:rPr>
        <w:fldChar w:fldCharType="separate"/>
      </w:r>
      <w:r w:rsidR="000D1791" w:rsidRPr="000D1791">
        <w:t>[13]</w:t>
      </w:r>
      <w:r w:rsidRPr="00C47481">
        <w:rPr>
          <w:rFonts w:eastAsia="Times New Roman"/>
          <w:color w:val="4472C4" w:themeColor="accent5"/>
        </w:rPr>
        <w:fldChar w:fldCharType="end"/>
      </w:r>
      <w:r>
        <w:t xml:space="preserve">. Alfalfa, ranking as the fourth-largest crop in the U.S. by acreage </w:t>
      </w:r>
      <w:r w:rsidRPr="00C47481">
        <w:rPr>
          <w:color w:val="0070C0"/>
        </w:rPr>
        <w:fldChar w:fldCharType="begin" w:fldLock="1"/>
      </w:r>
      <w:r w:rsidR="000D1791">
        <w:rPr>
          <w:color w:val="0070C0"/>
        </w:rPr>
        <w:instrText xml:space="preserve"> ADDIN ZOTERO_ITEM CSL_CITATION {"citationID":"hKhi30jK","properties":{"formattedCitation":"[17]","plainCitation":"[17]","noteIndex":0},"citationItems":[{"id":1386,"uris":["http://www.mendeley.com/documents/?uuid=a298abb2-f11c-40c1-a837-0fd37bb95583","http://zotero.org/users/12297313/items/R6F7TWRH"],"itemData":{"id":1386,"type":"webpage","citation-key":"unitedstatesdepartmentofagriculture[usda]USDANationalAgricultural2019","title":"USDA - National Agricultural Statistics Service, Quick Stats 2.0","URL":"http://quickstats.nass.usda.gov/","author":[{"literal":"United States Department of Agriculture [USDA]"}],"accessed":{"date-parts":[["2019",5,5]]},"issued":{"date-parts":[["2019"]]}}}],"schema":"https://github.com/citation-style-language/schema/raw/master/csl-citation.json"} </w:instrText>
      </w:r>
      <w:r w:rsidRPr="00C47481">
        <w:rPr>
          <w:color w:val="0070C0"/>
        </w:rPr>
        <w:fldChar w:fldCharType="separate"/>
      </w:r>
      <w:r w:rsidR="000D1791" w:rsidRPr="000D1791">
        <w:t>[17]</w:t>
      </w:r>
      <w:r w:rsidRPr="00C47481">
        <w:rPr>
          <w:color w:val="0070C0"/>
        </w:rPr>
        <w:fldChar w:fldCharType="end"/>
      </w:r>
      <w:r>
        <w:t>, stands out for its high protein content and nitrogen-fixing ability, which lessens the reliance on synthetic fertilizers.</w:t>
      </w:r>
      <w:r w:rsidRPr="00C47481">
        <w:rPr>
          <w:rStyle w:val="FootnoteReference"/>
        </w:rPr>
        <w:footnoteReference w:id="2"/>
      </w:r>
      <w:r>
        <w:t xml:space="preserve"> In 2019, the U.S. harvested more than 54 million tons of alfalfa, with a value of approximately $8.4 billion </w:t>
      </w:r>
      <w:r w:rsidRPr="00C47481">
        <w:rPr>
          <w:color w:val="0070C0"/>
        </w:rPr>
        <w:fldChar w:fldCharType="begin" w:fldLock="1"/>
      </w:r>
      <w:r w:rsidR="000D1791">
        <w:rPr>
          <w:color w:val="0070C0"/>
        </w:rPr>
        <w:instrText xml:space="preserve"> ADDIN ZOTERO_ITEM CSL_CITATION {"citationID":"uBzzT3G5","properties":{"formattedCitation":"[17]","plainCitation":"[17]","noteIndex":0},"citationItems":[{"id":1386,"uris":["http://www.mendeley.com/documents/?uuid=a298abb2-f11c-40c1-a837-0fd37bb95583","http://zotero.org/users/12297313/items/R6F7TWRH"],"itemData":{"id":1386,"type":"webpage","citation-key":"unitedstatesdepartmentofagriculture[usda]USDANationalAgricultural2019","title":"USDA - National Agricultural Statistics Service, Quick Stats 2.0","URL":"http://quickstats.nass.usda.gov/","author":[{"literal":"United States Department of Agriculture [USDA]"}],"accessed":{"date-parts":[["2019",5,5]]},"issued":{"date-parts":[["2019"]]}}}],"schema":"https://github.com/citation-style-language/schema/raw/master/csl-citation.json"} </w:instrText>
      </w:r>
      <w:r w:rsidRPr="00C47481">
        <w:rPr>
          <w:color w:val="0070C0"/>
        </w:rPr>
        <w:fldChar w:fldCharType="separate"/>
      </w:r>
      <w:r w:rsidR="000D1791" w:rsidRPr="000D1791">
        <w:t>[17]</w:t>
      </w:r>
      <w:r w:rsidRPr="00C47481">
        <w:rPr>
          <w:color w:val="0070C0"/>
        </w:rPr>
        <w:fldChar w:fldCharType="end"/>
      </w:r>
      <w:r>
        <w:t>. Annually, the total acreage dedicated to hay, including alfalfa, is about 128 million, valued at an estimated $17 billion. Alfalfa is primarily cultivated in the northwestern U.S., especially in states such as California, Idaho, Nevada, Oregon, Wyoming, and Washington</w:t>
      </w:r>
      <w:r w:rsidR="001051F9">
        <w:t xml:space="preserve"> (see Figure 1)</w:t>
      </w:r>
      <w:r>
        <w:t>. This regional concentration highlights the potential risks and challenges climate change poses to alfalfa production, affecting the entire livestock feed industry on both local and global scales.</w:t>
      </w:r>
    </w:p>
    <w:p w14:paraId="4A9281EA" w14:textId="056A28B3" w:rsidR="004A522B" w:rsidRDefault="00255675" w:rsidP="00E408A0">
      <w:r w:rsidRPr="00255675">
        <w:t>This paper centers on alfalfa</w:t>
      </w:r>
      <w:r w:rsidR="007E64F1">
        <w:t xml:space="preserve"> hay</w:t>
      </w:r>
      <w:r w:rsidRPr="00255675">
        <w:t xml:space="preserve">, aiming to bridge the gap in existing research by exploring </w:t>
      </w:r>
      <w:r w:rsidR="007C1312">
        <w:t>two</w:t>
      </w:r>
      <w:r w:rsidRPr="00255675">
        <w:t xml:space="preserve"> interrelated questions. </w:t>
      </w:r>
      <w:r w:rsidR="00FF4049" w:rsidRPr="00FF4049">
        <w:t xml:space="preserve">The first addresses the issue of whether global warming has any tangible effect on alfalfa </w:t>
      </w:r>
      <w:r w:rsidR="00740121">
        <w:t xml:space="preserve">hay </w:t>
      </w:r>
      <w:r w:rsidR="00FF4049" w:rsidRPr="00FF4049">
        <w:t xml:space="preserve">yields. Given projected changes in climates, the second asks whether there will be shifts in the spatial distribution of alfalfa </w:t>
      </w:r>
      <w:r w:rsidR="00740121">
        <w:t xml:space="preserve">hay </w:t>
      </w:r>
      <w:r w:rsidR="00FF4049" w:rsidRPr="00FF4049">
        <w:t>production</w:t>
      </w:r>
      <w:r w:rsidRPr="00255675">
        <w:t>.</w:t>
      </w:r>
      <w:r>
        <w:t xml:space="preserve"> </w:t>
      </w:r>
      <w:r w:rsidR="00D5077A" w:rsidRPr="00C47481">
        <w:t>To answer these questions</w:t>
      </w:r>
      <w:r w:rsidR="0094507F" w:rsidRPr="00C47481">
        <w:t>, t</w:t>
      </w:r>
      <w:r w:rsidR="00485AB9" w:rsidRPr="00C47481">
        <w:t xml:space="preserve">he study utilizes </w:t>
      </w:r>
      <w:r w:rsidR="00621F4A" w:rsidRPr="00C47481">
        <w:t>two</w:t>
      </w:r>
      <w:r w:rsidR="00485AB9" w:rsidRPr="00C47481">
        <w:t xml:space="preserve"> m</w:t>
      </w:r>
      <w:r w:rsidR="004A522B" w:rsidRPr="00C47481">
        <w:t xml:space="preserve">ain </w:t>
      </w:r>
      <w:r w:rsidR="001F0C30" w:rsidRPr="00C47481">
        <w:t xml:space="preserve">methods </w:t>
      </w:r>
      <w:r w:rsidR="004A522B" w:rsidRPr="00C47481">
        <w:t>of analysis</w:t>
      </w:r>
      <w:r w:rsidR="00642D8F" w:rsidRPr="00C47481">
        <w:t xml:space="preserve">. </w:t>
      </w:r>
      <w:r w:rsidR="004A522B" w:rsidRPr="00C47481">
        <w:t xml:space="preserve">The first applies reliable models of temperature-yield relationships </w:t>
      </w:r>
      <w:r w:rsidR="000B0FB5" w:rsidRPr="00C47481">
        <w:rPr>
          <w:color w:val="4472C4" w:themeColor="accent5"/>
        </w:rPr>
        <w:fldChar w:fldCharType="begin" w:fldLock="1"/>
      </w:r>
      <w:r w:rsidR="000D1791">
        <w:rPr>
          <w:color w:val="4472C4" w:themeColor="accent5"/>
        </w:rPr>
        <w:instrText xml:space="preserve"> ADDIN ZOTERO_ITEM CSL_CITATION {"citationID":"OqTPxMAS","properties":{"formattedCitation":"[7], [8], [10]","plainCitation":"[7], [8], [10]","noteIndex":0},"citationItems":[{"id":2166,"uris":["http://www.mendeley.com/documents/?uuid=fa807162-75c4-4697-aae1-b8f6f31dba55","http://zotero.org/users/12297313/items/GYI8WSER"],"itemData":{"id":2166,"type":"article-journal","abstract":"The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id":1629,"uris":["http://www.mendeley.com/documents/?uuid=59a81fc6-3520-4289-a58b-55dd0f410397","http://zotero.org/users/12297313/items/X55UZXW4"],"itemData":{"id":1629,"type":"article-journal","citation-key":"shewYieldReductionClimate2020","container-title":"Nature Communications","DOI":"10.1038/s41467-020-18317-8","ISSN":"2041-1723","issue":"1","page":"4408","title":"Yield reduction under climate warming varies among wheat cultivars in South Africa","volume":"11","author":[{"family":"Shew","given":"Aaron M."},{"family":"Tack","given":"Jesse B."},{"family":"Nalley","given":"Lawton L."},{"family":"Chaminuka","given":"Petronella"}],"issued":{"date-parts":[["2020",12,2]]}}},{"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Lanier"}],"issued":{"date-parts":[["2015",6,2]]}}}],"schema":"https://github.com/citation-style-language/schema/raw/master/csl-citation.json"} </w:instrText>
      </w:r>
      <w:r w:rsidR="000B0FB5" w:rsidRPr="00C47481">
        <w:rPr>
          <w:color w:val="4472C4" w:themeColor="accent5"/>
        </w:rPr>
        <w:fldChar w:fldCharType="separate"/>
      </w:r>
      <w:r w:rsidR="000D1791" w:rsidRPr="000D1791">
        <w:t>[7], [8], [10]</w:t>
      </w:r>
      <w:r w:rsidR="000B0FB5" w:rsidRPr="00C47481">
        <w:rPr>
          <w:color w:val="4472C4" w:themeColor="accent5"/>
        </w:rPr>
        <w:fldChar w:fldCharType="end"/>
      </w:r>
      <w:r w:rsidR="004A522B" w:rsidRPr="00C47481">
        <w:rPr>
          <w:color w:val="5B9BD5" w:themeColor="accent1"/>
        </w:rPr>
        <w:t xml:space="preserve"> </w:t>
      </w:r>
      <w:r w:rsidR="004A522B" w:rsidRPr="00C47481">
        <w:t xml:space="preserve">to </w:t>
      </w:r>
      <w:r w:rsidR="003E73B6" w:rsidRPr="00C47481">
        <w:t>county</w:t>
      </w:r>
      <w:r w:rsidR="007B3145" w:rsidRPr="00C47481">
        <w:t>-</w:t>
      </w:r>
      <w:r w:rsidR="004A522B" w:rsidRPr="00C47481">
        <w:t xml:space="preserve">level data from </w:t>
      </w:r>
      <w:r w:rsidR="001D2973" w:rsidRPr="00C47481">
        <w:t>1951</w:t>
      </w:r>
      <w:r w:rsidR="004A522B" w:rsidRPr="00C47481">
        <w:t xml:space="preserve"> to </w:t>
      </w:r>
      <w:r w:rsidR="004B0398">
        <w:t>2022</w:t>
      </w:r>
      <w:r w:rsidR="004A522B" w:rsidRPr="00C47481">
        <w:t xml:space="preserve"> to estimate temperature thresholds above which </w:t>
      </w:r>
      <w:r w:rsidR="00DD398F" w:rsidRPr="00C47481">
        <w:t>alfalfa</w:t>
      </w:r>
      <w:r w:rsidR="004A522B" w:rsidRPr="00C47481">
        <w:t xml:space="preserve"> </w:t>
      </w:r>
      <w:r w:rsidR="00591C5A">
        <w:t xml:space="preserve">hay </w:t>
      </w:r>
      <w:r w:rsidR="004A522B" w:rsidRPr="00C47481">
        <w:t xml:space="preserve">yields begin to decline. Given these thresholds, the study then </w:t>
      </w:r>
      <w:r w:rsidR="004A522B" w:rsidRPr="00C47481">
        <w:lastRenderedPageBreak/>
        <w:t xml:space="preserve">estimates the degree to which yields decline for incremental changes in temperatures. </w:t>
      </w:r>
      <w:r w:rsidR="00591C5A" w:rsidRPr="00591C5A">
        <w:t xml:space="preserve">The second analysis uses simulations to determine the spatial distribution of alfalfa production given the effects from the first analysis and </w:t>
      </w:r>
      <w:r w:rsidR="00F774A0" w:rsidRPr="00C47481">
        <w:t>projected warming scenarios</w:t>
      </w:r>
      <w:r w:rsidR="00BD46E3" w:rsidRPr="00C47481">
        <w:t xml:space="preserve">. </w:t>
      </w:r>
    </w:p>
    <w:p w14:paraId="6E6054D9" w14:textId="022D7A13" w:rsidR="00D378C9" w:rsidRDefault="00D378C9" w:rsidP="00E408A0">
      <w:r>
        <w:t xml:space="preserve">The results show that </w:t>
      </w:r>
      <w:r w:rsidR="007F03EC">
        <w:t>i</w:t>
      </w:r>
      <w:r w:rsidR="007F03EC" w:rsidRPr="007F03EC">
        <w:t xml:space="preserve">ncreased exposure to beneficial heat (14°C-29°C) positively correlates with alfalfa hay yields, while exposure to heat above 29°C is detrimental. Incremental warming by 0.5°C shows a progression of yield reduction, with significant decreases under scenarios from 1°C to 3°C warming. Regionally, the Northeast sees yield gains in states like Connecticut, Rhode Island, and Massachusetts due to cooler climates reducing heat stress. In contrast, the South, along with parts of the Midwest and West, experiences notable declines, particularly in Texas, Louisiana, Oklahoma, Kansas, and Arizona, attributed to increased heat and potential drought. </w:t>
      </w:r>
      <w:commentRangeStart w:id="0"/>
      <w:commentRangeStart w:id="1"/>
      <w:r w:rsidR="007F03EC" w:rsidRPr="007F03EC">
        <w:t xml:space="preserve">A 0.5°C increase boosts yield in some northern states, but substantial decreases occur in southern states such as Alabama, Arizona, and Florida, with Florida facing a 2.77% drop. As temperatures rise further, the impacts intensify, with Florida and Texas experiencing significant losses of 22.55% and 25.49% at a 3°C increase. </w:t>
      </w:r>
      <w:commentRangeEnd w:id="0"/>
      <w:r w:rsidR="006345C8" w:rsidRPr="007F03EC">
        <w:rPr>
          <w:rStyle w:val="CommentReference"/>
          <w:sz w:val="24"/>
          <w:szCs w:val="24"/>
        </w:rPr>
        <w:commentReference w:id="0"/>
      </w:r>
      <w:commentRangeEnd w:id="1"/>
      <w:r w:rsidR="00B81578" w:rsidRPr="007F03EC">
        <w:rPr>
          <w:rStyle w:val="CommentReference"/>
          <w:sz w:val="24"/>
          <w:szCs w:val="24"/>
        </w:rPr>
        <w:commentReference w:id="1"/>
      </w:r>
      <w:r w:rsidR="007F03EC" w:rsidRPr="007F03EC">
        <w:t xml:space="preserve">This demonstrates the varying regional vulnerabilities of US livestock production to climate change, with </w:t>
      </w:r>
      <w:r w:rsidR="002357D9">
        <w:t>most</w:t>
      </w:r>
      <w:r w:rsidR="006345C8">
        <w:t xml:space="preserve"> </w:t>
      </w:r>
      <w:r w:rsidR="007F03EC" w:rsidRPr="007F03EC">
        <w:t>northern gains diminishing or reversing beyond a 2°C rise</w:t>
      </w:r>
      <w:r w:rsidR="00A337F7" w:rsidRPr="00A337F7">
        <w:t>.</w:t>
      </w:r>
    </w:p>
    <w:p w14:paraId="495616DA" w14:textId="57BAAC86" w:rsidR="00AD55C0" w:rsidRPr="002357D9" w:rsidRDefault="006345C8" w:rsidP="00A32924">
      <w:r w:rsidRPr="002357D9">
        <w:t xml:space="preserve">Livestock production must adapt to continue functioning optimally under the impact of climate change and rising </w:t>
      </w:r>
      <w:r w:rsidR="002357D9" w:rsidRPr="002357D9">
        <w:t>temperatures.</w:t>
      </w:r>
      <w:r w:rsidR="00AD55C0" w:rsidRPr="002357D9">
        <w:t xml:space="preserve"> Warmer temperatures have led to significant changes in water consumption </w:t>
      </w:r>
      <w:r w:rsidR="00A74948" w:rsidRPr="002357D9">
        <w:fldChar w:fldCharType="begin"/>
      </w:r>
      <w:r w:rsidR="000D1791">
        <w:instrText xml:space="preserve"> ADDIN ZOTERO_ITEM CSL_CITATION {"citationID":"fSarYNCK","properties":{"formattedCitation":"[18]","plainCitation":"[18]","noteIndex":0},"citationItems":[{"id":"h6RDF2am/k3lExULr","uris":["http://zotero.org/users/17422379/items/85SAXT4S"],"itemData":{"id":123,"type":"article-journal","abstract":"Water is an essential nutrient, but there are few recent studies that evaluate how much water individual beef cattle consume and how environmental factors affect an individual’s water intake (WI). Most studies have focused on WI of whole pens rather than WI of individual animals. Thus, the objective of this study was to evaluate the impact of environmental parameters on individual-animal WI across different seasons and develop prediction equations to estimate WI, including within different environments and management protocols. Individual daily feed intake and WI records were collected on 579 crossbred steers for a 70-d period following a 21-d acclimation period for feed and water bunk training. Steers were fed in 5 separate groups over a 3-yr period from May 2014 to March 2017. Individual weights were collected every 14 d and weather data were retrieved from the Oklahoma Mesonet’s Stillwater station. Differences in WI as a percent of body weight (WI%) were analyzed accounting for average temperature (TAVG), relative humidity (HAVG), solar radiation (SRAD), and wind speed (WSPD). Seasonal (summer vs. winter) and management differences (ad libitum vs. slick bunk) were examined. Regression analysis was utilized to generate 5 WI prediction equations (overall, summer, winter, slick, and ad libitum). There were significant (P &amp;lt; 0.05) differences in WI between all groups when no environmental parameters were included in the model. Although performance was more similar after accounting for all differences in weather variables, significant (P &amp;lt; 0.05) seasonal and feed management differences were still observed for WI%, but were less than 0.75% of steer body weight. The best linear predictors of daily WI (DWI) were dry mater intake (DMI), metabolic body weights (MWTS), TAVG, SRAD, HAVG, and WSPD. Slight differences in the coefficient of determinations for the various models were observed for the summer (0.34), winter (0.39), ad libitum (0.385), slick bunk (0.41), and overall models (0.40). Based on the moderate R2 values for the WI prediction equations, individual DWI can be predicted with reasonable accuracy based on the environmental conditions that are present, MWTS, and DMI consumed, but substantial variation exists in individual animal WI that is not accounted for by these models.","container-title":"Journal of Animal Science","DOI":"10.1093/jas/sky267","ISSN":"0021-8812","issue":"10","journalAbbreviation":"J Anim Sci","page":"4368-4384","source":"Silverchair","title":"Environmental effects on water intake and water intake prediction in growing beef cattle,","volume":"96","author":[{"family":"Ahlberg","given":"Cashley M"},{"family":"Allwardt","given":"Kristi"},{"family":"Broocks","given":"Ashley"},{"family":"Bruno","given":"Kelsey"},{"family":"McPhillips","given":"Levi"},{"family":"Taylor","given":"Alexandra"},{"family":"Krehbiel","given":"Clint R"},{"family":"Calvo-Lorenzo","given":"Michelle S"},{"family":"Richards","given":"Chris J"},{"family":"Place","given":"Sara E"},{"family":"DeSilva","given":"Udaya"},{"family":"VanOverbeke","given":"Deborah L"},{"family":"Mateescu","given":"Raluca G"},{"family":"Kuehn","given":"Larry A"},{"family":"Weaber","given":"Robert L"},{"family":"Bormann","given":"Jennifer M"},{"family":"Rolf","given":"Megan M"}],"issued":{"date-parts":[["2018",9,29]]}}}],"schema":"https://github.com/citation-style-language/schema/raw/master/csl-citation.json"} </w:instrText>
      </w:r>
      <w:r w:rsidR="00A74948" w:rsidRPr="002357D9">
        <w:fldChar w:fldCharType="separate"/>
      </w:r>
      <w:r w:rsidR="000D1791" w:rsidRPr="000D1791">
        <w:t>[18]</w:t>
      </w:r>
      <w:r w:rsidR="00A74948" w:rsidRPr="002357D9">
        <w:fldChar w:fldCharType="end"/>
      </w:r>
      <w:r w:rsidR="00AD55C0" w:rsidRPr="002357D9">
        <w:t xml:space="preserve">, production </w:t>
      </w:r>
      <w:r w:rsidR="00A74948" w:rsidRPr="002357D9">
        <w:fldChar w:fldCharType="begin"/>
      </w:r>
      <w:r w:rsidR="000D1791">
        <w:instrText xml:space="preserve"> ADDIN ZOTERO_ITEM CSL_CITATION {"citationID":"LzW7mLuw","properties":{"formattedCitation":"[19], [20]","plainCitation":"[19], [20]","noteIndex":0},"citationItems":[{"id":"h6RDF2am/9TbSULC8","uris":["http://zotero.org/users/17422379/items/AGWX4Q4F"],"itemData":{"id":122,"type":"article-journal","abstract":"Heat stress compromises dairy production by decreasing feed intake and milk yield, and it may also alter milk composition and feed efficiency. However, little information is available for evaluating such effects across different levels of heat stress and cows enrolled in heat stress studies. The objectives of this study were to evaluate the effects of heat stress on dry matter intake (DMI), energy-corrected milk (ECM), milk composition, and feed efficiency (kg ECM/kg DMI) and to investigate the relationship between such effects and heat stress intervention and animal characteristics by using meta-analytical approaches. Data from 31 studies (34 trials) fulfilled the inclusion criteria and were used for analysis. Results showed that heat stress decreased DMI, ECM, and milk protein concentration, but did not alter milk fat concentration or feed efficiency. Meta-regression confirmed that such reductions in DMI and ECM were significantly associated with increasing temperature-humidity index (THI). Over the period of heat stress, for each unit increase in THI, DMI and ECM decreased by 4.13% and 3.25%, respectively, in mid-lactation cows. Regression models further revealed the existence of a strong interaction between THI and lactation stage, which partially explained the large heterogeneity in effect sizes of DMI and ECM. The results indicated a need for more research on the relationship between the effect of heat stress and animal characteristics. This study calls for the implementation of mitigation strategies in heat-stressed herds due to the substantial decrease in productivity.","container-title":"Journal of Dairy Science","DOI":"10.3168/jds.2023-24059","ISSN":"0022-0302","issue":"5","journalAbbreviation":"Journal of Dairy Science","page":"3207-3218","source":"ScienceDirect","title":"Effects of heat stress on feed intake, milk yield, milk composition, and feed efficiency in dairy cows: A meta-analysis","title-short":"Effects of heat stress on feed intake, milk yield, milk composition, and feed efficiency in dairy cows","volume":"107","author":[{"family":"Chen","given":"L."},{"family":"Thorup","given":"V. M."},{"family":"Kudahl","given":"A. B."},{"family":"Østergaard","given":"S."}],"issued":{"date-parts":[["2024",5,1]]}}},{"id":"h6RDF2am/cG3r9MAu","uris":["http://zotero.org/users/17422379/items/QCD9QN66"],"itemData":{"id":121,"type":"article-journal","container-title":"Animal Frontiers","DOI":"10.1093/af/vfy026","ISSN":"2160-6056","issue":"1","journalAbbreviation":"Anim Fron","page":"39-46","source":"Silverchair","title":"Impact of heat stress on milk and meat production","volume":"9","author":[{"family":"Summer","given":"Andrea"},{"family":"Lora","given":"Isabella"},{"family":"Formaggioni","given":"Paolo"},{"family":"Gottardo","given":"Flaviana"}],"issued":{"date-parts":[["2019",1,3]]}}}],"schema":"https://github.com/citation-style-language/schema/raw/master/csl-citation.json"} </w:instrText>
      </w:r>
      <w:r w:rsidR="00A74948" w:rsidRPr="002357D9">
        <w:fldChar w:fldCharType="separate"/>
      </w:r>
      <w:r w:rsidR="000D1791" w:rsidRPr="000D1791">
        <w:t>[19], [20]</w:t>
      </w:r>
      <w:r w:rsidR="00A74948" w:rsidRPr="002357D9">
        <w:fldChar w:fldCharType="end"/>
      </w:r>
      <w:r w:rsidR="00AD55C0" w:rsidRPr="002357D9">
        <w:t xml:space="preserve">, reproduction </w:t>
      </w:r>
      <w:r w:rsidR="00A74948" w:rsidRPr="002357D9">
        <w:fldChar w:fldCharType="begin"/>
      </w:r>
      <w:r w:rsidR="000D1791">
        <w:instrText xml:space="preserve"> ADDIN ZOTERO_ITEM CSL_CITATION {"citationID":"vyeMlX2C","properties":{"formattedCitation":"[21]","plainCitation":"[21]","noteIndex":0},"citationItems":[{"id":"h6RDF2am/t3t9LbKw","uris":["http://zotero.org/users/17422379/items/MJBAZLZR"],"itemData":{"id":118,"type":"article-journal","container-title":"Animal Frontiers","DOI":"10.1093/af/vfy027","ISSN":"2160-6056","issue":"1","journalAbbreviation":"Anim Fron","page":"32-38","source":"Silverchair","title":"Impact of heat stress on cow reproduction and fertility","volume":"9","author":[{"family":"Wolfenson","given":"David"},{"family":"Roth","given":"Zvi"}],"issued":{"date-parts":[["2019",1,3]]}}}],"schema":"https://github.com/citation-style-language/schema/raw/master/csl-citation.json"} </w:instrText>
      </w:r>
      <w:r w:rsidR="00A74948" w:rsidRPr="002357D9">
        <w:fldChar w:fldCharType="separate"/>
      </w:r>
      <w:r w:rsidR="000D1791" w:rsidRPr="000D1791">
        <w:t>[21]</w:t>
      </w:r>
      <w:r w:rsidR="00A74948" w:rsidRPr="002357D9">
        <w:fldChar w:fldCharType="end"/>
      </w:r>
      <w:r w:rsidR="00AD55C0" w:rsidRPr="002357D9">
        <w:t xml:space="preserve">, and forage types </w:t>
      </w:r>
      <w:r w:rsidR="00A74948" w:rsidRPr="002357D9">
        <w:fldChar w:fldCharType="begin"/>
      </w:r>
      <w:r w:rsidR="000D1791">
        <w:instrText xml:space="preserve"> ADDIN ZOTERO_ITEM CSL_CITATION {"citationID":"NcInjEfb","properties":{"formattedCitation":"[22]","plainCitation":"[22]","noteIndex":0},"citationItems":[{"id":"h6RDF2am/cdo2GRLI","uris":["http://zotero.org/users/17422379/items/WGYTKK22"],"itemData":{"id":119,"type":"article-journal","abstract":"Species composition is a key determinant of grassland ecosystem function and resilience. Climate change is predicted to alter the distribution of cool season (C3) and warm season (C4) grasses, however, the lack of spatial distributions and temporal variations of grass functional type information severely limits our understanding of climate impacts on grasslands. This study classified C3 and C4 grasses per pixel according to the peak of growing season generated from Enhanced Vegetation Index time series. From 2003 to 2017, the C3-C4 composition of Australian rain-fed grasslands and pastures was mapped at 500 m resolution on an annual basis across a wide geographical range (10°S – 45°S), and revealed extreme inter-annual fluctuations. Over the 15-year period, the satellite-derived ratio of C4 to C3 grasses significantly increased (p &lt; 0.05), indicating a long-term shift in community composition that was confirmed with 182,911 Atlas of Living Australia ground observations. The most pronounced changes occurred in mid-latitude transitional areas where C3 and C4 grasses co-dominate. Our climate analysis indicated the inter-annual fluctuations of C4/C3 grass ratios were significantly associated (p &lt; 0.05) with warm/cool season rainfall ratios, and not with temperature or annual rainfall. This suggests that an increase in the warm/cool season rainfall ratio favors C4 grasses and a decrease in the warm/cool season rainfall ratio favors C3 grasses. Our findings reveal spatially-detailed dynamics of grasslands and demonstrate large-scale grassland compositional changes over 15 years. The grass composition maps should help improve ecological forecasting of grass distributions and enable researches on grassland ecosystem responses to climate change that are relevant to both adaptation of rangeland agricultural and fire management practices. Our study should also help predict grass distribution under future climate conditions, and assist in the accurate modelling of global water, carbon, and energy exchanges between the land surface and atmosphere.","container-title":"Remote Sensing of Environment","DOI":"10.1016/j.rse.2022.112983","ISSN":"0034-4257","journalAbbreviation":"Remote Sensing of Environment","page":"112983","source":"ScienceDirect","title":"Satellite-observed shifts in C3/C4 abundance in Australian grasslands are associated with rainfall patterns","volume":"273","author":[{"family":"Xie","given":"Qiaoyun"},{"family":"Huete","given":"Alfredo"},{"family":"Hall","given":"Christopher C."},{"family":"Medlyn","given":"Belinda E."},{"family":"Power","given":"Sally A."},{"family":"Davies","given":"Janet M."},{"family":"Medek","given":"Danielle E."},{"family":"Beggs","given":"Paul J."}],"issued":{"date-parts":[["2022",5,1]]}}}],"schema":"https://github.com/citation-style-language/schema/raw/master/csl-citation.json"} </w:instrText>
      </w:r>
      <w:r w:rsidR="00A74948" w:rsidRPr="002357D9">
        <w:fldChar w:fldCharType="separate"/>
      </w:r>
      <w:r w:rsidR="000D1791" w:rsidRPr="000D1791">
        <w:t>[22]</w:t>
      </w:r>
      <w:r w:rsidR="00A74948" w:rsidRPr="002357D9">
        <w:fldChar w:fldCharType="end"/>
      </w:r>
      <w:r w:rsidR="00AD55C0" w:rsidRPr="002357D9">
        <w:t xml:space="preserve">. It has been found that for each </w:t>
      </w:r>
      <w:r w:rsidR="002357D9" w:rsidRPr="002357D9">
        <w:t>1-degree</w:t>
      </w:r>
      <w:r w:rsidR="00AD55C0" w:rsidRPr="002357D9">
        <w:t xml:space="preserve"> Celsius increase in temperature above the optimal temperature of 25 degrees Celsius, daily water consumption increases by 0.65 kg in beef cattle. Along with climate change causing heat stress that impacts water consumption, there is also a decline in milk output and beef production in the cattle industry. Decreases in production in both sectors of the cattle </w:t>
      </w:r>
      <w:r w:rsidR="00AD55C0" w:rsidRPr="002357D9">
        <w:lastRenderedPageBreak/>
        <w:t xml:space="preserve">industry result from reduced feed intake due to heat stress and prolonged periods of this stress caused by climate change. </w:t>
      </w:r>
      <w:r w:rsidR="00A74948" w:rsidRPr="002357D9">
        <w:fldChar w:fldCharType="begin"/>
      </w:r>
      <w:r w:rsidR="000D1791">
        <w:instrText xml:space="preserve"> ADDIN ZOTERO_ITEM CSL_CITATION {"citationID":"5yzfXJNU","properties":{"formattedCitation":"[21]","plainCitation":"[21]","noteIndex":0},"citationItems":[{"id":"h6RDF2am/t3t9LbKw","uris":["http://zotero.org/users/17422379/items/MJBAZLZR"],"itemData":{"id":118,"type":"article-journal","container-title":"Animal Frontiers","DOI":"10.1093/af/vfy027","ISSN":"2160-6056","issue":"1","journalAbbreviation":"Anim Fron","page":"32-38","source":"Silverchair","title":"Impact of heat stress on cow reproduction and fertility","volume":"9","author":[{"family":"Wolfenson","given":"David"},{"family":"Roth","given":"Zvi"}],"issued":{"date-parts":[["2019",1,3]]}}}],"schema":"https://github.com/citation-style-language/schema/raw/master/csl-citation.json"} </w:instrText>
      </w:r>
      <w:r w:rsidR="00A74948" w:rsidRPr="002357D9">
        <w:fldChar w:fldCharType="separate"/>
      </w:r>
      <w:r w:rsidR="000D1791" w:rsidRPr="000D1791">
        <w:t>[21]</w:t>
      </w:r>
      <w:r w:rsidR="00A74948" w:rsidRPr="002357D9">
        <w:fldChar w:fldCharType="end"/>
      </w:r>
      <w:r w:rsidR="00AD55C0" w:rsidRPr="002357D9">
        <w:t xml:space="preserve"> shows that conception rates in the dairy industry have a strong inverse relationship with average summer temperature, as higher temperatures cause hyperthermia in cattle and lead to an additional 5% decrease in conception rate when temperatures are 1.5 degrees Celsius above average. Under rising temperatures and varying rainfall caused by climate change, the prevalence of forage for livestock shifts from more C3 (cool season) forages to more C4 (warm season) forages, which do better under these new conditions. </w:t>
      </w:r>
    </w:p>
    <w:p w14:paraId="29A3C6D2" w14:textId="10C855AC" w:rsidR="008B3B2C" w:rsidRPr="002357D9" w:rsidRDefault="008B3B2C" w:rsidP="008B3B2C">
      <w:r w:rsidRPr="002357D9">
        <w:t xml:space="preserve">In the literature, </w:t>
      </w:r>
      <w:r w:rsidR="00CF4459" w:rsidRPr="002357D9">
        <w:fldChar w:fldCharType="begin"/>
      </w:r>
      <w:r w:rsidR="000D1791">
        <w:instrText xml:space="preserve"> ADDIN ZOTERO_ITEM CSL_CITATION {"citationID":"8ntUTIYQ","properties":{"formattedCitation":"[8], [23]","plainCitation":"[8], [23]","noteIndex":0},"citationItems":[{"id":"h6RDF2am/VXb4wJv7","uris":["http://zotero.org/users/17422379/items/ANRBZ2BV"],"itemData":{"id":173,"type":"article-journal","abstract":"The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model.","container-title":"Proceedings of the National Academy of Sciences","DOI":"10.1073/pnas.0906865106","issue":"37","page":"15594-15598","publisher":"Proceedings of the National Academy of Sciences","source":"pnas.org (Atypon)","title":"Nonlinear temperature effects indicate severe damages to U.S. crop yields under climate change","volume":"106","author":[{"family":"Schlenker","given":"Wolfram"},{"family":"Roberts","given":"Michael J."}],"issued":{"date-parts":[["2009",9,15]]}}},{"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Lanier"}],"issued":{"date-parts":[["2015",6,2]]}}}],"schema":"https://github.com/citation-style-language/schema/raw/master/csl-citation.json"} </w:instrText>
      </w:r>
      <w:r w:rsidR="00CF4459" w:rsidRPr="002357D9">
        <w:fldChar w:fldCharType="separate"/>
      </w:r>
      <w:r w:rsidR="000D1791" w:rsidRPr="000D1791">
        <w:t>[8], [23]</w:t>
      </w:r>
      <w:r w:rsidR="00CF4459" w:rsidRPr="002357D9">
        <w:fldChar w:fldCharType="end"/>
      </w:r>
      <w:r w:rsidRPr="002357D9">
        <w:t>established the use of the endogenous piecewise degree-day framework; however, both studies focused on grain crops, and no prior work has applied this approach to alfalfa hay specifically. This study extends that methodological foundation to the forage sector, where the literature on climate focused yield impacts remains sparse relative to field crops</w:t>
      </w:r>
      <w:r w:rsidR="00CF4459" w:rsidRPr="002357D9">
        <w:fldChar w:fldCharType="begin"/>
      </w:r>
      <w:r w:rsidR="000D1791">
        <w:instrText xml:space="preserve"> ADDIN ZOTERO_ITEM CSL_CITATION {"citationID":"GMo18wBw","properties":{"formattedCitation":"[8], [9], [23], [24], [25]","plainCitation":"[8], [9], [23], [24], [25]","noteIndex":0},"citationItems":[{"id":"h6RDF2am/JhYljQCc","uris":["http://zotero.org/users/17422379/items/RIBC89Z9"],"itemData":{"id":163,"type":"article-journal","abstract":"Existing studies on climate change effects on crop yields mainly focus on the average climate–yield relationship that is typically assumed to be time-invariant. We apply a flexible panel-data quantile regression with time-varying coefficients to examine distributional heterogeneity and temporal variation in this relationship. We find that U.S. corn and soybean yields have gradually become less sensitive to temperature and precipitation over 1948–2010, which is especially the case for upper yield quantiles. Consequently, the negative impacts of future climate change are of larger magnitudes at the lower yield quantiles. Failure to accommodate temporal changes in the climate–yield relationship leads to significantly overestimated responsiveness of crop yields to weather variation and, therefore, overestimated negative impacts of future climate change. On many occasions, the corn yield decline projections from such time-invariant specifications are about twice as large as (and sometimes triple) the predictions from our time-varying-coefficient model.","container-title":"Journal of Environmental Economics and Management","DOI":"10.1016/j.jeem.2020.102386","ISSN":"0095-0696","journalAbbreviation":"Journal of Environmental Economics and Management","page":"102386","source":"ScienceDirect","title":"Distributional and temporal heterogeneity in the climate change effects on U.S. agriculture","volume":"104","author":[{"family":"Malikov","given":"Emir"},{"family":"Miao","given":"Ruiqing"},{"family":"Zhang","given":"Jingfang"}],"issued":{"date-parts":[["2020",11,1]]}}},{"id":"h6RDF2am/VXb4wJv7","uris":["http://zotero.org/users/17422379/items/ANRBZ2BV"],"itemData":{"id":173,"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model.","container-title":"Proceedings of the National Academy of Sciences","DOI":"10.1073/pnas.0906865106","issue":"37","page":"15594-15598","publisher":"Proceedings of the National Academy of Sciences","source":"pnas.org (Atypon)","title":"Nonlinear temperature effects indicate severe damages to U.S. crop yields under climate change","volume":"106","author":[{"family":"Schlenker","given":"Wolfram"},{"family":"Roberts","given":"Michael J."}],"issued":{"date-parts":[["2009",9,15]]}}},{"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id":1628,"uris":["http://www.mendeley.com/documents/?uuid=1575b9ce-d124-47d1-9f59-97c5b262c104","http://zotero.org/users/12297313/items/HZRK8XVL"],"itemData":{"id":1628,"type":"article-journal","citation-key":"zhangEconomicImpactsClimate2017","container-title":"Journal of Environmental Economics and Management","DOI":"10.1016/j.jeem.2016.12.001","ISSN":"00950696","page":"8-31","title":"Economic impacts of climate change on agriculture: The importance of additional climatic variables other than temperature and precipitation","volume":"83","author":[{"family":"Zhang","given":"Peng"},{"family":"Zhang","given":"Junjie"},{"family":"Chen","given":"Minpeng"}],"issued":{"date-parts":[["2017",5]]}}},{"id":"h6RDF2am/NNqumWjv","uris":["http://zotero.org/users/17422379/items/5VQZBCX5"],"itemData":{"id":179,"type":"article-journal","abstract":"Understanding extreme weather impacts on staple crops such as wheat is vital for creating adaptation strategies and increasing food security, especially in dryland cropping systems across Southern Africa. This study analyses heat impacts on wheat using daily weather information and a dryland wheat dataset for 71 cultivars across 17 locations in South Africa from 1998 to 2014. We estimate temperature impacts on yields in extensive regression models, finding that extreme heat drives wheat yield losses, with an additional 24 h of exposure to temperatures above 30 °C associated with a 12.5% yield reduction. Results from a uniform warming scenario of +1 °C show an average wheat yield reduction of 8.5%, which increases to 18.4% and 28.5% under +2 and +3 °C scenarios. We also find evidence of differences in heat effects across cultivars, which suggests warming impacts may be reduced through the sharing of gene pools amongst wheat breeding programs.","container-title":"Nature Communications","DOI":"10.1038/s41467-020-18317-8","ISSN":"2041-1723","issue":"1","journalAbbreviation":"Nat Commun","language":"en","license":"2020 The Author(s)","page":"4408","publisher":"Nature Publishing Group","source":"www.nature.com","title":"Yield reduction under climate warming varies among wheat cultivars in South Africa","volume":"11","author":[{"family":"Shew","given":"Aaron M."},{"family":"Tack","given":"Jesse B."},{"family":"Nalley","given":"Lawton L."},{"family":"Chaminuka","given":"Petronella"}],"issued":{"date-parts":[["2020",9,2]]}}}],"schema":"https://github.com/citation-style-language/schema/raw/master/csl-citation.json"} </w:instrText>
      </w:r>
      <w:r w:rsidR="00CF4459" w:rsidRPr="002357D9">
        <w:fldChar w:fldCharType="separate"/>
      </w:r>
      <w:r w:rsidR="000D1791" w:rsidRPr="000D1791">
        <w:t>[8], [9], [23], [24], [25]</w:t>
      </w:r>
      <w:r w:rsidR="00CF4459" w:rsidRPr="002357D9">
        <w:fldChar w:fldCharType="end"/>
      </w:r>
      <w:r w:rsidR="00CF4459" w:rsidRPr="002357D9">
        <w:t>.</w:t>
      </w:r>
      <w:r w:rsidRPr="002357D9">
        <w:t>The forage and livestock feed supply chain and its potential disruptions under warming have been left largely unexamined compared to the extensive body of work on prominent field crops, despite alfalfa ranking as the fourth-largest U.S. crop by acreage and serving as a primary protein source for the nation's cattle industry. To date, this study represents the most comprehensive spatial and temporal analysis of alfalfa production, drawing on over 70 years of county-level data spanning 2,573 counties.</w:t>
      </w:r>
    </w:p>
    <w:p w14:paraId="2CCC1BFB" w14:textId="6F281238" w:rsidR="001716CC" w:rsidRPr="002357D9" w:rsidRDefault="001716CC" w:rsidP="00E408A0">
      <w:r w:rsidRPr="002357D9">
        <w:t xml:space="preserve">County cattle inventory and alfalfa production are found to have a correlation of 0.53, presenting this question as more than a purely agronomic issue, but one that impacts the U.S. beef and dairy industry's vulnerability to an inevitable problem. While </w:t>
      </w:r>
      <w:r w:rsidR="00CF4459" w:rsidRPr="002357D9">
        <w:fldChar w:fldCharType="begin"/>
      </w:r>
      <w:r w:rsidR="000D1791">
        <w:instrText xml:space="preserve"> ADDIN ZOTERO_ITEM CSL_CITATION {"citationID":"WfAUvLFQ","properties":{"formattedCitation":"[12]","plainCitation":"[12]","noteIndex":0},"citationItems":[{"id":1627,"uris":["http://www.mendeley.com/documents/?uuid=84fa7400-1d5b-47eb-8309-b832c849f2da","http://zotero.org/users/12297313/items/J5CBGHHJ"],"itemData":{"id":1627,"type":"article-journal","abstract":"It is well documented that global warming is unequivocal. Dairy production systems are considered as important sources of greenhouse gas emissions; however, little is known about the sensitivity and vulnerability of these production systems themselves to climate warming. This review brings different aspects of dairy cow production in Central Europe into focus, with a holistic approach to emphasize potential future consequences and challenges arising from climate change. With the current understanding of the effects of climate change, it is expected that yield of forage per hectare will be influenced positively, whereas quality will mainly depend on water availability and soil characteristics. Thus, the botanical composition of future grassland should include species that are able to withstand the changing conditions (e.g. lucerne and bird's foot trefoil). Changes in nutrient concentration of forage plants, elevated heat loads and altered feeding patterns of animals may influence rumen physiology. Several promising nutritional strategies are available to lower potential negative impacts of climate change on dairy cow nutrition and performance. Adjustment of feeding and drinking regimes, diet composition and additive supplementation can contribute to the maintenance of adequate dairy cow nutrition and performance. Provision of adequate shade and cooling will reduce the direct effects of heat stress. As estimated genetic parameters are promising, heat stress tolerance as a functional trait may be included into breeding programmes. Indirect effects of global warming on the health and welfare of animals seem to be more complicated and thus are less predictable. As the epidemiology of certain gastrointestinal nematodes and liver fluke is favourably influenced by increased temperature and humidity, relations between climate change and disease dynamics should be followed closely. Under current conditions, climate change associated economic impacts are estimated to be neutral if some form of adaptation is integrated. Therefore, it is essential to establish and adopt mitigation strategies covering available tools from management, nutrition, health and plant and animal breeding to cope with the future consequences of climate change on dairy farming. Copyright © The Animal Consortium 2012.","citation-key":"gaulyFutureConsequencesChallenges2013","container-title":"Animal","DOI":"10.1017/S1751731112002352","ISSN":"17517311","issue":"5","page":"843-859","PMID":"23253935","title":"Future consequences and challenges for dairy cow production systems arising from climate change in Central Europe – a review","volume":"7","author":[{"family":"Gauly","given":"M."},{"family":"Bollwein","given":"H."},{"family":"Breves","given":"G."},{"family":"Brügemann","given":"K."},{"family":"Dänicke","given":"S."},{"family":"Daş","given":"G."},{"family":"Demeler","given":"J."},{"family":"Hansen","given":"H."},{"family":"Isselstein","given":"J."},{"family":"König","given":"S."},{"family":"Lohölter","given":"M."},{"family":"Martinsohn","given":"M."},{"family":"Meyer","given":"U."},{"family":"Potthoff","given":"M."},{"family":"Sanker","given":"C."},{"family":"Schröder","given":"B."},{"family":"Wrage","given":"N."},{"family":"Meibaum","given":"B."},{"family":"Samson-Himmelstjerna","given":"G.","non-dropping-particle":"von"},{"family":"Stinshoff","given":"H."},{"family":"Wrenzycki","given":"C."}],"issued":{"date-parts":[["2013"]]}}}],"schema":"https://github.com/citation-style-language/schema/raw/master/csl-citation.json"} </w:instrText>
      </w:r>
      <w:r w:rsidR="00CF4459" w:rsidRPr="002357D9">
        <w:fldChar w:fldCharType="separate"/>
      </w:r>
      <w:r w:rsidR="000D1791" w:rsidRPr="000D1791">
        <w:t>[12]</w:t>
      </w:r>
      <w:r w:rsidR="00CF4459" w:rsidRPr="002357D9">
        <w:fldChar w:fldCharType="end"/>
      </w:r>
      <w:r w:rsidRPr="002357D9">
        <w:t xml:space="preserve">identify climate risks to dairy systems, their work is focused on Central Europe, where applied county-level estimates of heat thresholds and yield penalties specific to U.S. alfalfa production remain absent from the published literature. This study addresses that gap through its second research question, delivering county-level yield </w:t>
      </w:r>
      <w:r w:rsidRPr="002357D9">
        <w:lastRenderedPageBreak/>
        <w:t>shock simulations across six warming scenarios that provide the regional and state-level granularity needed to meaningfully inform local supply chain planning and adaptation. Furthermore, it compares alfalfa hay responses to non-alfalfa hay, providing an empirical signal within forage distinction in climate sensitivity, offering a novel implication that the existing literature has not drawn.</w:t>
      </w:r>
    </w:p>
    <w:p w14:paraId="42E8B94F" w14:textId="38AF84B5" w:rsidR="009B6FC2" w:rsidRDefault="009B6FC2" w:rsidP="00C7281D">
      <w:r w:rsidRPr="009B6FC2">
        <w:t xml:space="preserve">In the following sections, we first describe the data sources, including yield measurements and temperature records, and outline the </w:t>
      </w:r>
      <w:r>
        <w:t>process</w:t>
      </w:r>
      <w:r w:rsidRPr="009B6FC2">
        <w:t xml:space="preserve"> for defining the alfalfa growing season and constructing variables such as growing degree days. Our methods section begins with a model for heat impact on yield and concludes with simulations to project future warming scenarios. The results section presents comprehensive findings, including the nonlinear relationship between alfalfa hay yields and heat, as well as the geographically differentiated impacts of uniform warming scenarios on yields. In the discussion, we situate our results within the broader context of climate change adaptation, focusing on livestock production shifts and potential crop switching under the Ricardian framework. The final section provides our concluding remarks.</w:t>
      </w:r>
    </w:p>
    <w:p w14:paraId="2D5EAF2D" w14:textId="79374401" w:rsidR="00A1269F" w:rsidRDefault="00382D81" w:rsidP="00E408A0">
      <w:pPr>
        <w:pStyle w:val="Heading1"/>
        <w:rPr>
          <w:rFonts w:eastAsia="Times New Roman"/>
        </w:rPr>
      </w:pPr>
      <w:r>
        <w:rPr>
          <w:rFonts w:eastAsia="Times New Roman"/>
        </w:rPr>
        <w:t xml:space="preserve">2. </w:t>
      </w:r>
      <w:r w:rsidR="00A1269F" w:rsidRPr="00C47481">
        <w:rPr>
          <w:rFonts w:eastAsia="Times New Roman"/>
        </w:rPr>
        <w:t>Data</w:t>
      </w:r>
    </w:p>
    <w:p w14:paraId="196D7BB9" w14:textId="284674A2" w:rsidR="00E035EB" w:rsidRDefault="00E035EB" w:rsidP="00E408A0">
      <w:r>
        <w:t>We utilize a county-level unbalanced panel dataset of alfalfa production outcomes (yield, area, and production output), livestock inventory, and weather variables constructed from multiple sources. The county-level alfalfa production outcomes and livestock inventory data are sourced from the USDA National Agricultural Statistics Service (NASS) Quick Stats database</w:t>
      </w:r>
      <w:r w:rsidR="000834CB">
        <w:t xml:space="preserve"> </w:t>
      </w:r>
      <w:r w:rsidR="000834CB" w:rsidRPr="00C47481">
        <w:rPr>
          <w:color w:val="0070C0"/>
        </w:rPr>
        <w:fldChar w:fldCharType="begin" w:fldLock="1"/>
      </w:r>
      <w:r w:rsidR="000D1791">
        <w:rPr>
          <w:color w:val="0070C0"/>
        </w:rPr>
        <w:instrText xml:space="preserve"> ADDIN ZOTERO_ITEM CSL_CITATION {"citationID":"kkNEmWkf","properties":{"formattedCitation":"[17]","plainCitation":"[17]","noteIndex":0},"citationItems":[{"id":1386,"uris":["http://www.mendeley.com/documents/?uuid=a298abb2-f11c-40c1-a837-0fd37bb95583","http://zotero.org/users/12297313/items/R6F7TWRH"],"itemData":{"id":1386,"type":"webpage","citation-key":"unitedstatesdepartmentofagriculture[usda]USDANationalAgricultural2019","title":"USDA - National Agricultural Statistics Service, Quick Stats 2.0","URL":"http://quickstats.nass.usda.gov/","author":[{"literal":"United States Department of Agriculture [USDA]"}],"accessed":{"date-parts":[["2019",5,5]]},"issued":{"date-parts":[["2019"]]}}}],"schema":"https://github.com/citation-style-language/schema/raw/master/csl-citation.json"} </w:instrText>
      </w:r>
      <w:r w:rsidR="000834CB" w:rsidRPr="00C47481">
        <w:rPr>
          <w:color w:val="0070C0"/>
        </w:rPr>
        <w:fldChar w:fldCharType="separate"/>
      </w:r>
      <w:r w:rsidR="000D1791" w:rsidRPr="000D1791">
        <w:t>[17]</w:t>
      </w:r>
      <w:r w:rsidR="000834CB" w:rsidRPr="00C47481">
        <w:rPr>
          <w:color w:val="0070C0"/>
        </w:rPr>
        <w:fldChar w:fldCharType="end"/>
      </w:r>
      <w:r>
        <w:t>. Weather variables are derived from the Parameter-elevation Regressions on Independent Slopes Model (PRISM) weather dataset, which provides grid-level (2.5 x 2.5 mile) daily weather data processed according</w:t>
      </w:r>
      <w:r w:rsidR="001526A2">
        <w:t xml:space="preserve"> to</w:t>
      </w:r>
      <w:r>
        <w:t xml:space="preserve"> </w:t>
      </w:r>
      <w:r w:rsidR="001D2444" w:rsidRPr="00C47481">
        <w:t xml:space="preserve">related literature </w:t>
      </w:r>
      <w:r w:rsidR="001D2444" w:rsidRPr="00C47481">
        <w:rPr>
          <w:color w:val="4472C4" w:themeColor="accent5"/>
        </w:rPr>
        <w:fldChar w:fldCharType="begin" w:fldLock="1"/>
      </w:r>
      <w:r w:rsidR="000D1791">
        <w:rPr>
          <w:color w:val="4472C4" w:themeColor="accent5"/>
        </w:rPr>
        <w:instrText xml:space="preserve"> ADDIN ZOTERO_ITEM CSL_CITATION {"citationID":"5ZU3Qb4x","properties":{"formattedCitation":"[7], [8]","plainCitation":"[7], [8]","noteIndex":0},"citationItems":[{"id":2166,"uris":["http://www.mendeley.com/documents/?uuid=fa807162-75c4-4697-aae1-b8f6f31dba55","http://zotero.org/users/12297313/items/GYI8WSER"],"itemData":{"id":2166,"type":"article-journal","abstract":"The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Lanier"}],"issued":{"date-parts":[["2015",6,2]]}}}],"schema":"https://github.com/citation-style-language/schema/raw/master/csl-citation.json"} </w:instrText>
      </w:r>
      <w:r w:rsidR="001D2444" w:rsidRPr="00C47481">
        <w:rPr>
          <w:color w:val="4472C4" w:themeColor="accent5"/>
        </w:rPr>
        <w:fldChar w:fldCharType="separate"/>
      </w:r>
      <w:r w:rsidR="000D1791" w:rsidRPr="000D1791">
        <w:t>[7], [8]</w:t>
      </w:r>
      <w:r w:rsidR="001D2444" w:rsidRPr="00C47481">
        <w:rPr>
          <w:color w:val="4472C4" w:themeColor="accent5"/>
        </w:rPr>
        <w:fldChar w:fldCharType="end"/>
      </w:r>
      <w:r w:rsidR="001D2444" w:rsidRPr="00C47481">
        <w:t>.</w:t>
      </w:r>
      <w:r>
        <w:t xml:space="preserve"> Degree-day variables (detailed in Section 3) are calculated based on the interpolation procedure </w:t>
      </w:r>
      <w:r w:rsidR="00C52D54" w:rsidRPr="00C47481">
        <w:rPr>
          <w:rFonts w:eastAsiaTheme="minorEastAsia"/>
          <w:color w:val="ED7D31" w:themeColor="accent2"/>
        </w:rPr>
        <w:fldChar w:fldCharType="begin" w:fldLock="1"/>
      </w:r>
      <w:r w:rsidR="000D1791">
        <w:rPr>
          <w:rFonts w:eastAsiaTheme="minorEastAsia"/>
          <w:color w:val="ED7D31" w:themeColor="accent2"/>
        </w:rPr>
        <w:instrText xml:space="preserve"> ADDIN ZOTERO_ITEM CSL_CITATION {"citationID":"Ba6TOZZ5","properties":{"formattedCitation":"[7]","plainCitation":"[7]","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J."}],"issued":{"date-parts":[["2009"]]}}}],"schema":"https://github.com/citation-style-language/schema/raw/master/csl-citation.json"} </w:instrText>
      </w:r>
      <w:r w:rsidR="00C52D54" w:rsidRPr="00C47481">
        <w:rPr>
          <w:rFonts w:eastAsiaTheme="minorEastAsia"/>
          <w:color w:val="ED7D31" w:themeColor="accent2"/>
        </w:rPr>
        <w:fldChar w:fldCharType="separate"/>
      </w:r>
      <w:r w:rsidR="000D1791" w:rsidRPr="000D1791">
        <w:t>[7]</w:t>
      </w:r>
      <w:r w:rsidR="00C52D54" w:rsidRPr="00C47481">
        <w:rPr>
          <w:rFonts w:eastAsiaTheme="minorEastAsia"/>
          <w:color w:val="ED7D31" w:themeColor="accent2"/>
        </w:rPr>
        <w:fldChar w:fldCharType="end"/>
      </w:r>
      <w:r>
        <w:t>.</w:t>
      </w:r>
    </w:p>
    <w:p w14:paraId="2FBEA72E" w14:textId="442A6EB4" w:rsidR="00B70F24" w:rsidRDefault="00E035EB" w:rsidP="00E408A0">
      <w:r>
        <w:lastRenderedPageBreak/>
        <w:t>All weather variables were first aggregated to the county level as the weighted mean of all the PRISM grids within each county, using the proportion of each PRISM grid related to alfalfa and pasture cover based on cropland data layers (CDLs) from NASS CropScape (2008-2022)</w:t>
      </w:r>
      <w:r w:rsidR="000834CB">
        <w:t xml:space="preserve"> </w:t>
      </w:r>
      <w:r w:rsidR="000834CB" w:rsidRPr="00C47481">
        <w:rPr>
          <w:color w:val="0070C0"/>
        </w:rPr>
        <w:fldChar w:fldCharType="begin" w:fldLock="1"/>
      </w:r>
      <w:r w:rsidR="000D1791">
        <w:rPr>
          <w:color w:val="0070C0"/>
        </w:rPr>
        <w:instrText xml:space="preserve"> ADDIN ZOTERO_ITEM CSL_CITATION {"citationID":"o9P9QLx3","properties":{"formattedCitation":"[26]","plainCitation":"[26]","noteIndex":0},"citationItems":[{"id":1507,"uris":["http://www.mendeley.com/documents/?uuid=5d17992b-4e59-4fe2-947b-3c313fbcdb99","http://zotero.org/users/12297313/items/S8E6H9N7"],"itemData":{"id":1507,"type":"webpage","citation-key":"usdanationalagriculturalstatisticsserviceCropScapeCroplandData2019","title":"CropScape - Cropland Data Layer (2019 release)","URL":"https://nassgeodata.gmu.edu/CropScape/","author":[{"literal":"USDA National Agricultural Statistics Service"}],"issued":{"date-parts":[["2019"]]}}}],"schema":"https://github.com/citation-style-language/schema/raw/master/csl-citation.json"} </w:instrText>
      </w:r>
      <w:r w:rsidR="000834CB" w:rsidRPr="00C47481">
        <w:rPr>
          <w:color w:val="0070C0"/>
        </w:rPr>
        <w:fldChar w:fldCharType="separate"/>
      </w:r>
      <w:r w:rsidR="000D1791" w:rsidRPr="000D1791">
        <w:t>[26]</w:t>
      </w:r>
      <w:r w:rsidR="000834CB" w:rsidRPr="00C47481">
        <w:rPr>
          <w:color w:val="0070C0"/>
        </w:rPr>
        <w:fldChar w:fldCharType="end"/>
      </w:r>
      <w:r>
        <w:t xml:space="preserve"> as the aggregation weights. Subsequently, the daily degree days and precipitation were further aggregated over each year’s growing season for each county. The growing seasons are defined by state according to the NASS definition of the marketing year for hay.</w:t>
      </w:r>
      <w:r w:rsidR="00030DB7">
        <w:rPr>
          <w:rStyle w:val="FootnoteReference"/>
        </w:rPr>
        <w:footnoteReference w:id="3"/>
      </w:r>
      <w:r>
        <w:t xml:space="preserve"> Within each state-defined range, we aggregated data only over the first seven months.</w:t>
      </w:r>
      <w:r w:rsidR="000834CB" w:rsidRPr="000834CB">
        <w:rPr>
          <w:rStyle w:val="FootnoteReference"/>
        </w:rPr>
        <w:t xml:space="preserve"> </w:t>
      </w:r>
      <w:r w:rsidR="000834CB" w:rsidRPr="00C47481">
        <w:rPr>
          <w:rStyle w:val="FootnoteReference"/>
        </w:rPr>
        <w:footnoteReference w:id="4"/>
      </w:r>
    </w:p>
    <w:p w14:paraId="4050AF50" w14:textId="25976FBC" w:rsidR="00267AE0" w:rsidRDefault="00A549AF" w:rsidP="00E408A0">
      <w:r w:rsidRPr="00A549AF">
        <w:t xml:space="preserve">Table 1 presents summary statistics </w:t>
      </w:r>
      <w:r w:rsidR="00F3251F">
        <w:t>of the data</w:t>
      </w:r>
      <w:r w:rsidR="00E84AC4">
        <w:t>, which</w:t>
      </w:r>
      <w:r w:rsidR="00847725" w:rsidRPr="00847725">
        <w:t xml:space="preserve"> spans </w:t>
      </w:r>
      <w:r w:rsidR="006345C8">
        <w:t>2,573</w:t>
      </w:r>
      <w:r w:rsidR="00847725" w:rsidRPr="00847725">
        <w:t xml:space="preserve"> counties and includes </w:t>
      </w:r>
      <w:r w:rsidR="006345C8">
        <w:t>70890</w:t>
      </w:r>
      <w:r w:rsidR="00847725" w:rsidRPr="00847725">
        <w:t xml:space="preserve"> observations</w:t>
      </w:r>
      <w:r w:rsidR="001E6595" w:rsidRPr="00C47481">
        <w:t xml:space="preserve">. </w:t>
      </w:r>
      <w:r w:rsidR="00E84AC4" w:rsidRPr="00E84AC4">
        <w:t xml:space="preserve">On average, counties have </w:t>
      </w:r>
      <w:r w:rsidR="006345C8">
        <w:t>14.10</w:t>
      </w:r>
      <w:r w:rsidR="00E84AC4" w:rsidRPr="00E84AC4">
        <w:t xml:space="preserve"> thousand acres devoted to alfalfa cultivation, yielding a production output of 4</w:t>
      </w:r>
      <w:r w:rsidR="006345C8">
        <w:t>0.92</w:t>
      </w:r>
      <w:r w:rsidR="00E84AC4" w:rsidRPr="00E84AC4">
        <w:t xml:space="preserve"> thousand tons. The average yield of alfalfa stands at 3.0</w:t>
      </w:r>
      <w:r w:rsidR="006345C8">
        <w:t>0</w:t>
      </w:r>
      <w:r w:rsidR="00E84AC4" w:rsidRPr="00E84AC4">
        <w:t xml:space="preserve"> tons per acre, indicating a productive use of the land under typical conditions. </w:t>
      </w:r>
      <w:r w:rsidR="00267AE0" w:rsidRPr="00C47481">
        <w:t xml:space="preserve">Boxplot of the yield data shown in Figure </w:t>
      </w:r>
      <w:r w:rsidR="007751AF">
        <w:t>1</w:t>
      </w:r>
      <w:r w:rsidR="00F0197B">
        <w:rPr>
          <w:rFonts w:eastAsiaTheme="minorEastAsia"/>
        </w:rPr>
        <w:t>(</w:t>
      </w:r>
      <w:r w:rsidR="00725994">
        <w:rPr>
          <w:rFonts w:eastAsiaTheme="minorEastAsia"/>
        </w:rPr>
        <w:t xml:space="preserve">panel </w:t>
      </w:r>
      <w:r w:rsidR="00F0197B">
        <w:t>a</w:t>
      </w:r>
      <w:r w:rsidR="00F0197B">
        <w:rPr>
          <w:rFonts w:eastAsiaTheme="minorEastAsia"/>
        </w:rPr>
        <w:t xml:space="preserve">) </w:t>
      </w:r>
      <w:r w:rsidR="00267AE0" w:rsidRPr="00C47481">
        <w:t xml:space="preserve">exhibits significant temporal and spatial variation. </w:t>
      </w:r>
      <w:r w:rsidR="00E84AC4" w:rsidRPr="00E84AC4">
        <w:t>Weather conditions during the</w:t>
      </w:r>
      <w:r w:rsidR="007D0E49">
        <w:t xml:space="preserve"> first seven months of the</w:t>
      </w:r>
      <w:r w:rsidR="00E84AC4" w:rsidRPr="00E84AC4">
        <w:t xml:space="preserve"> alfalfa growing season include an average precipitation of 19.</w:t>
      </w:r>
      <w:r w:rsidR="006345C8">
        <w:t>47</w:t>
      </w:r>
      <w:r w:rsidR="00E84AC4" w:rsidRPr="00E84AC4">
        <w:t xml:space="preserve"> inches. </w:t>
      </w:r>
      <w:r w:rsidR="007D0E49">
        <w:t>T</w:t>
      </w:r>
      <w:r w:rsidR="00E84AC4" w:rsidRPr="00E84AC4">
        <w:t xml:space="preserve">emperature accumulation, measured in degree-days, shows varied growing conditions: </w:t>
      </w:r>
      <w:r w:rsidR="00391B93">
        <w:t>1,695.61</w:t>
      </w:r>
      <w:r w:rsidR="00E84AC4" w:rsidRPr="00E84AC4">
        <w:t xml:space="preserve"> degree-days are recorded below 1</w:t>
      </w:r>
      <w:r w:rsidR="00904B7A">
        <w:t>4</w:t>
      </w:r>
      <w:r w:rsidR="00E84AC4" w:rsidRPr="00E84AC4">
        <w:t xml:space="preserve">°C; </w:t>
      </w:r>
      <w:r w:rsidR="00391B93">
        <w:t>1549.01</w:t>
      </w:r>
      <w:r w:rsidR="00E84AC4" w:rsidRPr="00E84AC4">
        <w:t xml:space="preserve"> degree-days between 1</w:t>
      </w:r>
      <w:r w:rsidR="00904B7A">
        <w:t>4</w:t>
      </w:r>
      <w:r w:rsidR="00E84AC4" w:rsidRPr="00E84AC4">
        <w:t>°C and 29°C, an optimal range for alfalfa</w:t>
      </w:r>
      <w:r w:rsidR="004A54BF">
        <w:t xml:space="preserve"> (as shown in section 3)</w:t>
      </w:r>
      <w:r w:rsidR="00E84AC4" w:rsidRPr="00E84AC4">
        <w:t xml:space="preserve">; and only </w:t>
      </w:r>
      <w:r w:rsidR="00391B93">
        <w:t>51.58</w:t>
      </w:r>
      <w:r w:rsidR="00E84AC4" w:rsidRPr="00E84AC4">
        <w:t xml:space="preserve"> degree-days above 29°C, indicating exposure to heat that could stress the plants.</w:t>
      </w:r>
      <w:r w:rsidR="00267AE0">
        <w:t xml:space="preserve"> </w:t>
      </w:r>
      <w:r w:rsidR="00267AE0" w:rsidRPr="00C47481">
        <w:t xml:space="preserve">Boxplots of all the weather </w:t>
      </w:r>
      <w:r w:rsidR="00267AE0" w:rsidRPr="00C47481">
        <w:lastRenderedPageBreak/>
        <w:t xml:space="preserve">variables are shown in Figure </w:t>
      </w:r>
      <w:r w:rsidR="0043471A">
        <w:t>1</w:t>
      </w:r>
      <w:r w:rsidR="00267AE0" w:rsidRPr="00C47481">
        <w:t xml:space="preserve"> </w:t>
      </w:r>
      <w:r w:rsidR="00267AE0" w:rsidRPr="00C47481">
        <w:rPr>
          <w:rFonts w:eastAsiaTheme="minorEastAsia"/>
        </w:rPr>
        <w:t xml:space="preserve">panels </w:t>
      </w:r>
      <w:r w:rsidR="00E1333F">
        <w:rPr>
          <w:rFonts w:eastAsiaTheme="minorEastAsia"/>
        </w:rPr>
        <w:t xml:space="preserve">(b) – (e) </w:t>
      </w:r>
      <w:r w:rsidR="00267AE0" w:rsidRPr="00C47481">
        <w:t xml:space="preserve">and they exhibit significant temporal and spatial variations. </w:t>
      </w:r>
    </w:p>
    <w:p w14:paraId="1D63029C" w14:textId="2654BFAF" w:rsidR="000C4BC9" w:rsidRDefault="003945C5" w:rsidP="00E408A0">
      <w:r>
        <w:t xml:space="preserve">Figure </w:t>
      </w:r>
      <w:r w:rsidR="00613859">
        <w:t>2</w:t>
      </w:r>
      <w:r>
        <w:t xml:space="preserve">, panels </w:t>
      </w:r>
      <w:r w:rsidR="00C323FE">
        <w:t>(a)</w:t>
      </w:r>
      <w:r>
        <w:t>-</w:t>
      </w:r>
      <w:r w:rsidR="00C323FE">
        <w:t>(c)</w:t>
      </w:r>
      <w:r>
        <w:t xml:space="preserve">, depicts the spatial distribution of county-level alfalfa </w:t>
      </w:r>
      <w:r w:rsidR="00F253A8">
        <w:t xml:space="preserve">production metrics </w:t>
      </w:r>
      <w:r>
        <w:t xml:space="preserve">and </w:t>
      </w:r>
      <w:r w:rsidR="00954016">
        <w:t>cattle</w:t>
      </w:r>
      <w:r w:rsidR="00F253A8">
        <w:t xml:space="preserve"> inventory</w:t>
      </w:r>
      <w:r>
        <w:t xml:space="preserve"> across the US, focusing on the period from 2002 to 2022. To enhance the spatial coverage, we incorporated missing county-level data from the US agricultural censuses conducted in 2002, 2007, 2017, and 2022.</w:t>
      </w:r>
      <w:r w:rsidR="0056741B">
        <w:t xml:space="preserve"> </w:t>
      </w:r>
      <w:r w:rsidR="00B22F6E" w:rsidRPr="00B22F6E">
        <w:t>Alfalfa production is dominated by Western U.S., where counties report exceptionally high average yield of 3.42 tons per acre on an average of 18.71 thousand acres per county</w:t>
      </w:r>
      <w:r w:rsidR="002216FF" w:rsidRPr="002216FF">
        <w:t>.</w:t>
      </w:r>
      <w:r w:rsidR="002216FF">
        <w:t xml:space="preserve"> K</w:t>
      </w:r>
      <w:r w:rsidR="00B2238E" w:rsidRPr="00B2238E">
        <w:t>ey contributors exhibit</w:t>
      </w:r>
      <w:r w:rsidR="000203E8">
        <w:t>ing</w:t>
      </w:r>
      <w:r w:rsidR="00B2238E" w:rsidRPr="00B2238E">
        <w:t xml:space="preserve"> significant alfalfa </w:t>
      </w:r>
      <w:r w:rsidR="000203E8">
        <w:t>(</w:t>
      </w:r>
      <w:r w:rsidR="007C6B05">
        <w:t>a</w:t>
      </w:r>
      <w:r w:rsidR="00B2238E">
        <w:t xml:space="preserve">rea </w:t>
      </w:r>
      <w:r w:rsidR="000203E8">
        <w:t>[</w:t>
      </w:r>
      <w:r w:rsidR="00B2238E">
        <w:t>1000 acres</w:t>
      </w:r>
      <w:r w:rsidR="000203E8">
        <w:t>]</w:t>
      </w:r>
      <w:r w:rsidR="00B2238E">
        <w:t xml:space="preserve">, production </w:t>
      </w:r>
      <w:r w:rsidR="000203E8">
        <w:t>[</w:t>
      </w:r>
      <w:r w:rsidR="00B2238E">
        <w:t>1000 tons</w:t>
      </w:r>
      <w:r w:rsidR="000203E8">
        <w:t>]</w:t>
      </w:r>
      <w:r w:rsidR="00B2238E">
        <w:t xml:space="preserve">, yield </w:t>
      </w:r>
      <w:r w:rsidR="000203E8">
        <w:t>[</w:t>
      </w:r>
      <w:r w:rsidR="00B2238E">
        <w:t>tons per acre</w:t>
      </w:r>
      <w:r w:rsidR="000203E8">
        <w:t>])</w:t>
      </w:r>
      <w:r w:rsidR="00B2238E">
        <w:t xml:space="preserve"> </w:t>
      </w:r>
      <w:r w:rsidR="000203E8" w:rsidRPr="00B2238E">
        <w:t>include</w:t>
      </w:r>
      <w:r w:rsidR="00B2238E" w:rsidRPr="00B2238E">
        <w:t xml:space="preserve"> </w:t>
      </w:r>
      <w:commentRangeStart w:id="2"/>
      <w:commentRangeStart w:id="3"/>
      <w:r w:rsidR="004E1D41" w:rsidRPr="001A36AC">
        <w:t xml:space="preserve">Arizona (20.02, 154.68, 6.23), </w:t>
      </w:r>
      <w:commentRangeEnd w:id="2"/>
      <w:r w:rsidR="00AD55C0" w:rsidRPr="001A36AC">
        <w:rPr>
          <w:rStyle w:val="CommentReference"/>
          <w:sz w:val="24"/>
          <w:szCs w:val="24"/>
        </w:rPr>
        <w:commentReference w:id="2"/>
      </w:r>
      <w:commentRangeEnd w:id="3"/>
      <w:r w:rsidR="00397AB3" w:rsidRPr="001A36AC">
        <w:rPr>
          <w:rStyle w:val="CommentReference"/>
          <w:sz w:val="24"/>
          <w:szCs w:val="24"/>
        </w:rPr>
        <w:commentReference w:id="3"/>
      </w:r>
      <w:r w:rsidR="004E1D41" w:rsidRPr="001A36AC">
        <w:t xml:space="preserve">California (21.24, 140.37, 5.27), Idaho (24.39, 95.48, 3.39), Nevada (17.07, 73.52, 4.37), </w:t>
      </w:r>
      <w:r w:rsidR="00347E6E">
        <w:t xml:space="preserve">and </w:t>
      </w:r>
      <w:r w:rsidR="004E1D41" w:rsidRPr="001A36AC">
        <w:t>Utah (18.23, 70.06, 3.52)</w:t>
      </w:r>
      <w:r w:rsidR="00B2238E" w:rsidRPr="00B2238E">
        <w:t>.</w:t>
      </w:r>
      <w:r w:rsidR="007C6B05">
        <w:t xml:space="preserve"> </w:t>
      </w:r>
      <w:r w:rsidR="007D6CA7" w:rsidRPr="00B22F6E">
        <w:t>Western</w:t>
      </w:r>
      <w:r w:rsidR="007D6CA7">
        <w:t xml:space="preserve"> counties are followed by those in the Midwest, </w:t>
      </w:r>
      <w:r w:rsidR="007D6CA7" w:rsidRPr="00B22F6E">
        <w:t xml:space="preserve">where </w:t>
      </w:r>
      <w:r w:rsidR="007D6CA7">
        <w:t>mean county yield is estimated at</w:t>
      </w:r>
      <w:r w:rsidR="007D6CA7" w:rsidRPr="00B22F6E">
        <w:t xml:space="preserve"> </w:t>
      </w:r>
      <w:r w:rsidR="00F523FF" w:rsidRPr="00F523FF">
        <w:t>2.82</w:t>
      </w:r>
      <w:r w:rsidR="00F523FF">
        <w:t xml:space="preserve"> </w:t>
      </w:r>
      <w:r w:rsidR="007D6CA7" w:rsidRPr="00B22F6E">
        <w:t xml:space="preserve">tons per acre on an average of </w:t>
      </w:r>
      <w:r w:rsidR="00F523FF">
        <w:t>9.93</w:t>
      </w:r>
      <w:r w:rsidR="007D6CA7" w:rsidRPr="00B22F6E">
        <w:t xml:space="preserve"> thousand acres per county</w:t>
      </w:r>
      <w:r w:rsidR="007D6CA7" w:rsidRPr="002216FF">
        <w:t>.</w:t>
      </w:r>
      <w:r w:rsidR="00834759">
        <w:t xml:space="preserve"> Leading Midwestern states include </w:t>
      </w:r>
      <w:r w:rsidR="00AC4966" w:rsidRPr="00AC4966">
        <w:t>South Dakota (30.02, 54.24, 2.07), Wisconsin (18.36, 49.8, 2.61), North Dakota (27.71, 45.05, 1.89), Nebraska (11.61, 38</w:t>
      </w:r>
      <w:r w:rsidR="00A170BF">
        <w:t>.00</w:t>
      </w:r>
      <w:r w:rsidR="00AC4966" w:rsidRPr="00AC4966">
        <w:t xml:space="preserve">, 3.45), </w:t>
      </w:r>
      <w:r w:rsidR="00AC4966">
        <w:t xml:space="preserve">and </w:t>
      </w:r>
      <w:r w:rsidR="00AC4966" w:rsidRPr="00AC4966">
        <w:t>Minnesota (11.32, 32.32, 2.93)</w:t>
      </w:r>
      <w:r w:rsidR="00AC4966">
        <w:t xml:space="preserve">. </w:t>
      </w:r>
      <w:r w:rsidR="000203E8">
        <w:t>At the low end,</w:t>
      </w:r>
      <w:r w:rsidR="000C4BC9">
        <w:t xml:space="preserve"> Southern counties exhibit much smaller alfalfa areas</w:t>
      </w:r>
      <w:r w:rsidR="00391B93">
        <w:t>,</w:t>
      </w:r>
      <w:r w:rsidR="000C4BC9">
        <w:t xml:space="preserve"> averaging about </w:t>
      </w:r>
      <w:r w:rsidR="00771739" w:rsidRPr="00771739">
        <w:t>0.95</w:t>
      </w:r>
      <w:r w:rsidR="00771739">
        <w:t xml:space="preserve"> thousand</w:t>
      </w:r>
      <w:r w:rsidR="000C4BC9">
        <w:t xml:space="preserve"> acres per county, with yields </w:t>
      </w:r>
      <w:r w:rsidR="00D30930">
        <w:t>averaging</w:t>
      </w:r>
      <w:r w:rsidR="000C4BC9">
        <w:t xml:space="preserve"> </w:t>
      </w:r>
      <w:r w:rsidR="00FA2EE6">
        <w:t xml:space="preserve">only </w:t>
      </w:r>
      <w:r w:rsidR="00273BA4">
        <w:t>2.33</w:t>
      </w:r>
      <w:r w:rsidR="000C4BC9">
        <w:t xml:space="preserve"> tons per acre. </w:t>
      </w:r>
      <w:r w:rsidR="00D30930">
        <w:t xml:space="preserve">The lowest performing Southern counties are found in </w:t>
      </w:r>
      <w:r w:rsidR="00EB13E5" w:rsidRPr="00EB13E5">
        <w:t xml:space="preserve">Mississippi (0.08, 0.19, 2.02), South Carolina (0.11, 0.27, 2.23), Georgia (0.23, 0.45, 2.27), Louisiana (0.22, 0.49, 2.04), </w:t>
      </w:r>
      <w:r w:rsidR="000203E8">
        <w:t xml:space="preserve">and </w:t>
      </w:r>
      <w:r w:rsidR="00EB13E5" w:rsidRPr="00EB13E5">
        <w:t>North Carolina (0.24, 0.54, 2.14)</w:t>
      </w:r>
      <w:r w:rsidR="00EB13E5">
        <w:t xml:space="preserve">. </w:t>
      </w:r>
    </w:p>
    <w:p w14:paraId="1BFB90AB" w14:textId="6395F36B" w:rsidR="00A1269F" w:rsidRDefault="00382D81" w:rsidP="00E408A0">
      <w:pPr>
        <w:pStyle w:val="Heading1"/>
      </w:pPr>
      <w:r>
        <w:t xml:space="preserve">3. </w:t>
      </w:r>
      <w:r w:rsidR="00442E0D" w:rsidRPr="00255CB8">
        <w:t>M</w:t>
      </w:r>
      <w:r w:rsidR="00A1269F" w:rsidRPr="00255CB8">
        <w:t>ethods</w:t>
      </w:r>
    </w:p>
    <w:p w14:paraId="1CE9AF96" w14:textId="371CE21E" w:rsidR="00A1269F" w:rsidRPr="00C47481" w:rsidRDefault="00A1269F" w:rsidP="00E408A0">
      <w:r w:rsidRPr="00C47481">
        <w:t xml:space="preserve">The study makes use of the large variation present in the assembled dataset to identify parameters of interest by applying models of climate change effects on crop yields proposed in the literature </w:t>
      </w:r>
      <w:r w:rsidR="00120612" w:rsidRPr="00C47481">
        <w:rPr>
          <w:color w:val="4472C4" w:themeColor="accent5"/>
        </w:rPr>
        <w:fldChar w:fldCharType="begin" w:fldLock="1"/>
      </w:r>
      <w:r w:rsidR="000D1791">
        <w:rPr>
          <w:color w:val="4472C4" w:themeColor="accent5"/>
        </w:rPr>
        <w:instrText xml:space="preserve"> ADDIN ZOTERO_ITEM CSL_CITATION {"citationID":"agJffVsk","properties":{"formattedCitation":"[7], [8], [10]","plainCitation":"[7], [8], [10]","noteIndex":0},"citationItems":[{"id":2166,"uris":["http://www.mendeley.com/documents/?uuid=fa807162-75c4-4697-aae1-b8f6f31dba55","http://zotero.org/users/12297313/items/GYI8WSER"],"itemData":{"id":2166,"type":"article-journal","abstract":"The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id":1629,"uris":["http://www.mendeley.com/documents/?uuid=59a81fc6-3520-4289-a58b-55dd0f410397","http://zotero.org/users/12297313/items/X55UZXW4"],"itemData":{"id":1629,"type":"article-journal","citation-key":"shewYieldReductionClimate2020","container-title":"Nature Communications","DOI":"10.1038/s41467-020-18317-8","ISSN":"2041-1723","issue":"1","page":"4408","title":"Yield reduction under climate warming varies among wheat cultivars in South Africa","volume":"11","author":[{"family":"Shew","given":"Aaron M."},{"family":"Tack","given":"Jesse B."},{"family":"Nalley","given":"Lawton L."},{"family":"Chaminuka","given":"Petronella"}],"issued":{"date-parts":[["2020",12,2]]}}},{"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Lanier"}],"issued":{"date-parts":[["2015",6,2]]}}}],"schema":"https://github.com/citation-style-language/schema/raw/master/csl-citation.json"} </w:instrText>
      </w:r>
      <w:r w:rsidR="00120612" w:rsidRPr="00C47481">
        <w:rPr>
          <w:color w:val="4472C4" w:themeColor="accent5"/>
        </w:rPr>
        <w:fldChar w:fldCharType="separate"/>
      </w:r>
      <w:r w:rsidR="000D1791" w:rsidRPr="000D1791">
        <w:t>[7], [8], [10]</w:t>
      </w:r>
      <w:r w:rsidR="00120612" w:rsidRPr="00C47481">
        <w:rPr>
          <w:color w:val="4472C4" w:themeColor="accent5"/>
        </w:rPr>
        <w:fldChar w:fldCharType="end"/>
      </w:r>
      <w:r w:rsidRPr="00C47481">
        <w:t xml:space="preserve">. The model assumes a cumulative effect of temperature on seasonal alfalfa yields, and that yield is proportional to cumulative exposure. The implication is that the effect of </w:t>
      </w:r>
      <w:r w:rsidRPr="00C47481">
        <w:lastRenderedPageBreak/>
        <w:t xml:space="preserve">temperature on the growth rates of alfalfa yields </w:t>
      </w:r>
      <w:r w:rsidR="005A0F68">
        <w:t>is</w:t>
      </w:r>
      <w:r w:rsidR="005A0F68" w:rsidRPr="00C47481">
        <w:t xml:space="preserve"> </w:t>
      </w:r>
      <w:r w:rsidRPr="00C47481">
        <w:t xml:space="preserve">the same and additively substitutable during the growing season. </w:t>
      </w:r>
      <w:r w:rsidRPr="00C47481">
        <w:rPr>
          <w:rFonts w:eastAsiaTheme="minorEastAsia"/>
          <w:color w:val="ED7D31" w:themeColor="accent2"/>
        </w:rPr>
        <w:fldChar w:fldCharType="begin" w:fldLock="1"/>
      </w:r>
      <w:r w:rsidR="000D1791">
        <w:rPr>
          <w:rFonts w:eastAsiaTheme="minorEastAsia"/>
          <w:color w:val="ED7D31" w:themeColor="accent2"/>
        </w:rPr>
        <w:instrText xml:space="preserve"> ADDIN ZOTERO_ITEM CSL_CITATION {"citationID":"Vh2QsiX6","properties":{"formattedCitation":"[7]","plainCitation":"[7]","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J."}],"issued":{"date-parts":[["2009"]]}}}],"schema":"https://github.com/citation-style-language/schema/raw/master/csl-citation.json"} </w:instrText>
      </w:r>
      <w:r w:rsidRPr="00C47481">
        <w:rPr>
          <w:rFonts w:eastAsiaTheme="minorEastAsia"/>
          <w:color w:val="ED7D31" w:themeColor="accent2"/>
        </w:rPr>
        <w:fldChar w:fldCharType="separate"/>
      </w:r>
      <w:r w:rsidR="000D1791" w:rsidRPr="000D1791">
        <w:t>[7]</w:t>
      </w:r>
      <w:r w:rsidRPr="00C47481">
        <w:rPr>
          <w:rFonts w:eastAsiaTheme="minorEastAsia"/>
          <w:color w:val="ED7D31" w:themeColor="accent2"/>
        </w:rPr>
        <w:fldChar w:fldCharType="end"/>
      </w:r>
      <w:r w:rsidRPr="00C47481">
        <w:rPr>
          <w:rFonts w:eastAsiaTheme="minorEastAsia"/>
          <w:color w:val="4472C4" w:themeColor="accent5"/>
        </w:rPr>
        <w:t xml:space="preserve"> </w:t>
      </w:r>
      <w:r w:rsidRPr="00C47481">
        <w:t>provides the empirical validity of this assumption, where they specify that yield growth depends nonlinearly on heat (</w:t>
      </w:r>
      <w:r w:rsidRPr="00C47481">
        <w:rPr>
          <w:i/>
        </w:rPr>
        <w:t>h</w:t>
      </w:r>
      <w:r w:rsidRPr="00C47481">
        <w:t>) such that log yield (</w:t>
      </w:r>
      <m:oMath>
        <m:func>
          <m:funcPr>
            <m:ctrlPr>
              <w:rPr>
                <w:rFonts w:ascii="Cambria Math" w:hAnsi="Cambria Math"/>
                <w:i/>
              </w:rPr>
            </m:ctrlPr>
          </m:funcPr>
          <m:fName>
            <m:r>
              <m:rPr>
                <m:sty m:val="p"/>
              </m:rPr>
              <w:rPr>
                <w:rFonts w:ascii="Cambria Math" w:hAnsi="Cambria Math"/>
              </w:rPr>
              <m:t>ln</m:t>
            </m:r>
          </m:fName>
          <m:e>
            <m:sSub>
              <m:sSubPr>
                <m:ctrlPr>
                  <w:rPr>
                    <w:rFonts w:ascii="Cambria Math" w:hAnsi="Cambria Math"/>
                    <w:i/>
                  </w:rPr>
                </m:ctrlPr>
              </m:sSubPr>
              <m:e>
                <m:r>
                  <w:rPr>
                    <w:rFonts w:ascii="Cambria Math" w:hAnsi="Cambria Math"/>
                  </w:rPr>
                  <m:t>y</m:t>
                </m:r>
              </m:e>
              <m:sub>
                <m:r>
                  <w:rPr>
                    <w:rFonts w:ascii="Cambria Math" w:hAnsi="Cambria Math"/>
                  </w:rPr>
                  <m:t>it</m:t>
                </m:r>
              </m:sub>
            </m:sSub>
          </m:e>
        </m:func>
      </m:oMath>
      <w:r w:rsidRPr="00C47481">
        <w:t xml:space="preserve">) for </w:t>
      </w:r>
      <w:r w:rsidR="0027397D" w:rsidRPr="00C47481">
        <w:t>county</w:t>
      </w:r>
      <w:r w:rsidR="0027397D" w:rsidRPr="00C47481">
        <w:rPr>
          <w:i/>
        </w:rPr>
        <w:t xml:space="preserve"> </w:t>
      </w:r>
      <w:r w:rsidRPr="00C47481">
        <w:rPr>
          <w:i/>
        </w:rPr>
        <w:t>i</w:t>
      </w:r>
      <w:r w:rsidRPr="00C47481">
        <w:t xml:space="preserve"> and year </w:t>
      </w:r>
      <w:r w:rsidRPr="00C47481">
        <w:rPr>
          <w:i/>
        </w:rPr>
        <w:t>t</w:t>
      </w:r>
      <w:r w:rsidRPr="00C47481">
        <w:t xml:space="preserve"> is</w:t>
      </w:r>
    </w:p>
    <w:p w14:paraId="4C01E190" w14:textId="2CC0D1E3" w:rsidR="00A1269F" w:rsidRPr="00C47481" w:rsidRDefault="00000000" w:rsidP="00E408A0">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y</m:t>
                </m:r>
              </m:e>
              <m:sub>
                <m:r>
                  <w:rPr>
                    <w:rFonts w:ascii="Cambria Math" w:hAnsi="Cambria Math"/>
                  </w:rPr>
                  <m:t>it</m:t>
                </m:r>
              </m:sub>
            </m:sSub>
          </m:e>
        </m:func>
        <m:r>
          <m:rPr>
            <m:sty m:val="p"/>
          </m:rPr>
          <w:rPr>
            <w:rFonts w:ascii="Cambria Math" w:hAnsi="Cambria Math"/>
          </w:rPr>
          <m:t>=</m:t>
        </m:r>
        <m:nary>
          <m:naryPr>
            <m:limLoc m:val="subSup"/>
            <m:ctrlPr>
              <w:rPr>
                <w:rFonts w:ascii="Cambria Math" w:hAnsi="Cambria Math"/>
              </w:rPr>
            </m:ctrlPr>
          </m:naryPr>
          <m:sub>
            <m:bar>
              <m:barPr>
                <m:ctrlPr>
                  <w:rPr>
                    <w:rFonts w:ascii="Cambria Math" w:hAnsi="Cambria Math"/>
                  </w:rPr>
                </m:ctrlPr>
              </m:barPr>
              <m:e>
                <m:r>
                  <w:rPr>
                    <w:rFonts w:ascii="Cambria Math" w:hAnsi="Cambria Math"/>
                  </w:rPr>
                  <m:t>h</m:t>
                </m:r>
              </m:e>
            </m:bar>
          </m:sub>
          <m:sup>
            <m:acc>
              <m:accPr>
                <m:chr m:val="̅"/>
                <m:ctrlPr>
                  <w:rPr>
                    <w:rFonts w:ascii="Cambria Math" w:hAnsi="Cambria Math"/>
                  </w:rPr>
                </m:ctrlPr>
              </m:accPr>
              <m:e>
                <m:r>
                  <w:rPr>
                    <w:rFonts w:ascii="Cambria Math" w:hAnsi="Cambria Math"/>
                  </w:rPr>
                  <m:t>h</m:t>
                </m:r>
              </m:e>
            </m:acc>
          </m:sup>
          <m:e>
            <m:r>
              <w:rPr>
                <w:rFonts w:ascii="Cambria Math" w:hAnsi="Cambria Math"/>
              </w:rPr>
              <m:t>g</m:t>
            </m:r>
            <m:d>
              <m:dPr>
                <m:ctrlPr>
                  <w:rPr>
                    <w:rFonts w:ascii="Cambria Math" w:hAnsi="Cambria Math"/>
                  </w:rPr>
                </m:ctrlPr>
              </m:dPr>
              <m:e>
                <m:r>
                  <w:rPr>
                    <w:rFonts w:ascii="Cambria Math" w:hAnsi="Cambria Math"/>
                  </w:rPr>
                  <m:t>h</m:t>
                </m:r>
              </m:e>
            </m:d>
            <m:sSub>
              <m:sSubPr>
                <m:ctrlPr>
                  <w:rPr>
                    <w:rFonts w:ascii="Cambria Math" w:hAnsi="Cambria Math"/>
                  </w:rPr>
                </m:ctrlPr>
              </m:sSubPr>
              <m:e>
                <m:r>
                  <w:rPr>
                    <w:rFonts w:ascii="Cambria Math" w:hAnsi="Cambria Math"/>
                  </w:rPr>
                  <m:t>ϕ</m:t>
                </m:r>
              </m:e>
              <m:sub>
                <m:r>
                  <w:rPr>
                    <w:rFonts w:ascii="Cambria Math" w:hAnsi="Cambria Math"/>
                  </w:rPr>
                  <m:t>it</m:t>
                </m:r>
              </m:sub>
            </m:sSub>
            <m:d>
              <m:dPr>
                <m:ctrlPr>
                  <w:rPr>
                    <w:rFonts w:ascii="Cambria Math" w:hAnsi="Cambria Math"/>
                  </w:rPr>
                </m:ctrlPr>
              </m:dPr>
              <m:e>
                <m:r>
                  <w:rPr>
                    <w:rFonts w:ascii="Cambria Math" w:hAnsi="Cambria Math"/>
                  </w:rPr>
                  <m:t>h</m:t>
                </m:r>
              </m:e>
            </m:d>
            <m:r>
              <w:rPr>
                <w:rFonts w:ascii="Cambria Math" w:hAnsi="Cambria Math"/>
              </w:rPr>
              <m:t>dh</m:t>
            </m:r>
          </m:e>
        </m:nary>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it</m:t>
            </m:r>
          </m:sub>
        </m:sSub>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r w:rsidR="00A1269F" w:rsidRPr="00C47481">
        <w:rPr>
          <w:rFonts w:eastAsiaTheme="minorEastAsia"/>
        </w:rPr>
        <w:t xml:space="preserve"> </w:t>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r>
      <w:r w:rsidR="00A1269F" w:rsidRPr="00C47481">
        <w:rPr>
          <w:rFonts w:eastAsiaTheme="minorEastAsia"/>
        </w:rPr>
        <w:tab/>
        <w:t>(</w:t>
      </w:r>
      <w:r w:rsidR="002741D2">
        <w:rPr>
          <w:rFonts w:eastAsiaTheme="minorEastAsia"/>
        </w:rPr>
        <w:t>1</w:t>
      </w:r>
      <w:r w:rsidR="00A1269F" w:rsidRPr="00C47481">
        <w:rPr>
          <w:rFonts w:eastAsiaTheme="minorEastAsia"/>
        </w:rPr>
        <w:t>)</w:t>
      </w:r>
    </w:p>
    <w:p w14:paraId="7F372381" w14:textId="28A167BB" w:rsidR="00A1269F" w:rsidRPr="00C47481" w:rsidRDefault="00A1269F" w:rsidP="00E408A0">
      <w:r w:rsidRPr="00C47481">
        <w:t xml:space="preserve">Where </w:t>
      </w:r>
      <m:oMath>
        <m:sSub>
          <m:sSubPr>
            <m:ctrlPr>
              <w:rPr>
                <w:rFonts w:ascii="Cambria Math" w:hAnsi="Cambria Math"/>
                <w:i/>
              </w:rPr>
            </m:ctrlPr>
          </m:sSubPr>
          <m:e>
            <m:r>
              <w:rPr>
                <w:rFonts w:ascii="Cambria Math" w:hAnsi="Cambria Math"/>
              </w:rPr>
              <m:t>ϕ</m:t>
            </m:r>
          </m:e>
          <m:sub>
            <m:r>
              <w:rPr>
                <w:rFonts w:ascii="Cambria Math" w:hAnsi="Cambria Math"/>
              </w:rPr>
              <m:t>it</m:t>
            </m:r>
          </m:sub>
        </m:sSub>
        <m:d>
          <m:dPr>
            <m:ctrlPr>
              <w:rPr>
                <w:rFonts w:ascii="Cambria Math" w:hAnsi="Cambria Math"/>
                <w:i/>
              </w:rPr>
            </m:ctrlPr>
          </m:dPr>
          <m:e>
            <m:r>
              <w:rPr>
                <w:rFonts w:ascii="Cambria Math" w:hAnsi="Cambria Math"/>
              </w:rPr>
              <m:t>h</m:t>
            </m:r>
          </m:e>
        </m:d>
      </m:oMath>
      <w:r w:rsidRPr="00C47481">
        <w:rPr>
          <w:rFonts w:eastAsiaTheme="minorEastAsia"/>
        </w:rPr>
        <w:t xml:space="preserve"> is the time distribution of </w:t>
      </w:r>
      <w:r w:rsidRPr="00C47481">
        <w:rPr>
          <w:i/>
        </w:rPr>
        <w:t>h</w:t>
      </w:r>
      <w:r w:rsidRPr="00C47481">
        <w:rPr>
          <w:rFonts w:eastAsiaTheme="minorEastAsia"/>
        </w:rPr>
        <w:t xml:space="preserve"> over the growing season for </w:t>
      </w:r>
      <w:r w:rsidR="006A4E49" w:rsidRPr="00C47481">
        <w:t>county</w:t>
      </w:r>
      <w:r w:rsidR="006A4E49" w:rsidRPr="00C47481">
        <w:rPr>
          <w:i/>
        </w:rPr>
        <w:t xml:space="preserve"> </w:t>
      </w:r>
      <w:r w:rsidRPr="00C47481">
        <w:rPr>
          <w:i/>
        </w:rPr>
        <w:t>i</w:t>
      </w:r>
      <w:r w:rsidRPr="00C47481">
        <w:t xml:space="preserve"> and year </w:t>
      </w:r>
      <w:r w:rsidRPr="00C47481">
        <w:rPr>
          <w:i/>
        </w:rPr>
        <w:t>t</w:t>
      </w:r>
      <w:r w:rsidRPr="00C47481">
        <w:t xml:space="preserve">. The observed temperatures during </w:t>
      </w:r>
      <w:r w:rsidR="00B06DE7" w:rsidRPr="00C47481">
        <w:t xml:space="preserve">the </w:t>
      </w:r>
      <w:r w:rsidRPr="00C47481">
        <w:rPr>
          <w:rFonts w:eastAsiaTheme="minorEastAsia"/>
        </w:rPr>
        <w:t xml:space="preserve">growing season </w:t>
      </w:r>
      <w:r w:rsidRPr="00C47481">
        <w:t xml:space="preserve">range between </w:t>
      </w:r>
      <m:oMath>
        <m:bar>
          <m:barPr>
            <m:ctrlPr>
              <w:rPr>
                <w:rFonts w:ascii="Cambria Math" w:hAnsi="Cambria Math"/>
                <w:i/>
              </w:rPr>
            </m:ctrlPr>
          </m:barPr>
          <m:e>
            <m:r>
              <w:rPr>
                <w:rFonts w:ascii="Cambria Math" w:hAnsi="Cambria Math"/>
              </w:rPr>
              <m:t>h</m:t>
            </m:r>
          </m:e>
        </m:bar>
      </m:oMath>
      <w:r w:rsidRPr="00C47481">
        <w:rPr>
          <w:rFonts w:eastAsiaTheme="minorEastAsia"/>
        </w:rPr>
        <w:t xml:space="preserve"> </w:t>
      </w:r>
      <w:r w:rsidRPr="00C47481">
        <w:t xml:space="preserve">and </w:t>
      </w:r>
      <m:oMath>
        <m:acc>
          <m:accPr>
            <m:chr m:val="̅"/>
            <m:ctrlPr>
              <w:rPr>
                <w:rFonts w:ascii="Cambria Math" w:hAnsi="Cambria Math"/>
                <w:i/>
              </w:rPr>
            </m:ctrlPr>
          </m:accPr>
          <m:e>
            <m:r>
              <w:rPr>
                <w:rFonts w:ascii="Cambria Math" w:hAnsi="Cambria Math"/>
              </w:rPr>
              <m:t>h</m:t>
            </m:r>
          </m:e>
        </m:acc>
      </m:oMath>
      <w:r w:rsidRPr="00C47481">
        <w:t xml:space="preserve">. The vector </w:t>
      </w:r>
      <m:oMath>
        <m:sSub>
          <m:sSubPr>
            <m:ctrlPr>
              <w:rPr>
                <w:rFonts w:ascii="Cambria Math" w:hAnsi="Cambria Math"/>
              </w:rPr>
            </m:ctrlPr>
          </m:sSubPr>
          <m:e>
            <m:r>
              <m:rPr>
                <m:sty m:val="bi"/>
              </m:rPr>
              <w:rPr>
                <w:rFonts w:ascii="Cambria Math" w:hAnsi="Cambria Math"/>
              </w:rPr>
              <m:t>w</m:t>
            </m:r>
          </m:e>
          <m:sub>
            <m:r>
              <w:rPr>
                <w:rFonts w:ascii="Cambria Math" w:hAnsi="Cambria Math"/>
              </w:rPr>
              <m:t>it</m:t>
            </m:r>
          </m:sub>
        </m:sSub>
        <m:r>
          <w:rPr>
            <w:rFonts w:ascii="Cambria Math" w:hAnsi="Cambria Math"/>
          </w:rPr>
          <m:t xml:space="preserve"> </m:t>
        </m:r>
      </m:oMath>
      <w:r w:rsidRPr="00C47481">
        <w:t xml:space="preserve">contains other control factors, including </w:t>
      </w:r>
      <w:r w:rsidR="00DC5C3C" w:rsidRPr="00DC5C3C">
        <w:t>quadratic function of cumulative precipitation to capture the nonlinear effects of rainfall</w:t>
      </w:r>
      <w:r w:rsidRPr="00C47481">
        <w:t xml:space="preserve">, quadratic time trend by </w:t>
      </w:r>
      <w:r w:rsidR="00A77247" w:rsidRPr="00C47481">
        <w:t xml:space="preserve">state </w:t>
      </w:r>
      <w:r w:rsidRPr="00C47481">
        <w:t xml:space="preserve">to capture </w:t>
      </w:r>
      <w:r w:rsidR="001B44D9" w:rsidRPr="00C47481">
        <w:t>state</w:t>
      </w:r>
      <w:r w:rsidR="00D42CA3" w:rsidRPr="00C47481">
        <w:t>-</w:t>
      </w:r>
      <w:r w:rsidR="007625B4" w:rsidRPr="00C47481">
        <w:t>specific</w:t>
      </w:r>
      <w:r w:rsidR="001B44D9" w:rsidRPr="00C47481">
        <w:t xml:space="preserve"> </w:t>
      </w:r>
      <w:r w:rsidRPr="00C47481">
        <w:t xml:space="preserve">technological change, and </w:t>
      </w:r>
      <w:r w:rsidR="00A80821" w:rsidRPr="00C47481">
        <w:t>county</w:t>
      </w:r>
      <w:r w:rsidRPr="00C47481">
        <w:t xml:space="preserve"> fixed effect to control for cross-sectional heterogeneity. Finally, </w:t>
      </w:r>
      <m:oMath>
        <m:sSub>
          <m:sSubPr>
            <m:ctrlPr>
              <w:rPr>
                <w:rFonts w:ascii="Cambria Math" w:hAnsi="Cambria Math"/>
                <w:i/>
              </w:rPr>
            </m:ctrlPr>
          </m:sSubPr>
          <m:e>
            <m:r>
              <w:rPr>
                <w:rFonts w:ascii="Cambria Math" w:hAnsi="Cambria Math"/>
              </w:rPr>
              <m:t>ε</m:t>
            </m:r>
          </m:e>
          <m:sub>
            <m:r>
              <w:rPr>
                <w:rFonts w:ascii="Cambria Math" w:hAnsi="Cambria Math"/>
              </w:rPr>
              <m:t>it</m:t>
            </m:r>
          </m:sub>
        </m:sSub>
      </m:oMath>
      <w:r w:rsidRPr="00C47481">
        <w:rPr>
          <w:rFonts w:eastAsiaTheme="minorEastAsia"/>
        </w:rPr>
        <w:t xml:space="preserve"> capture</w:t>
      </w:r>
      <w:r w:rsidR="00915F67" w:rsidRPr="00C47481">
        <w:rPr>
          <w:rFonts w:eastAsiaTheme="minorEastAsia"/>
        </w:rPr>
        <w:t>s</w:t>
      </w:r>
      <w:r w:rsidRPr="00C47481">
        <w:rPr>
          <w:rFonts w:eastAsiaTheme="minorEastAsia"/>
        </w:rPr>
        <w:t xml:space="preserve"> any remaining unobserved heterogeneity and is assumed to be heteroskedastic. </w:t>
      </w:r>
    </w:p>
    <w:p w14:paraId="00B496AF" w14:textId="627DD12A" w:rsidR="00A1269F" w:rsidRPr="00C47481" w:rsidRDefault="00A1269F" w:rsidP="00E408A0">
      <w:pPr>
        <w:rPr>
          <w:rFonts w:eastAsiaTheme="minorEastAsia"/>
        </w:rPr>
      </w:pPr>
      <w:r w:rsidRPr="00C47481">
        <w:t>Following</w:t>
      </w:r>
      <w:r w:rsidR="002A14ED">
        <w:t xml:space="preserve"> related works</w:t>
      </w:r>
      <w:r w:rsidRPr="00C47481">
        <w:t xml:space="preserve"> </w:t>
      </w:r>
      <w:r w:rsidRPr="00C47481">
        <w:fldChar w:fldCharType="begin" w:fldLock="1"/>
      </w:r>
      <w:r w:rsidR="000D1791">
        <w:instrText xml:space="preserve"> ADDIN ZOTERO_ITEM CSL_CITATION {"citationID":"3QvWIKuk","properties":{"formattedCitation":"[7]","plainCitation":"[7]","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J."}],"issued":{"date-parts":[["2009"]]}}}],"schema":"https://github.com/citation-style-language/schema/raw/master/csl-citation.json"} </w:instrText>
      </w:r>
      <w:r w:rsidRPr="00C47481">
        <w:fldChar w:fldCharType="separate"/>
      </w:r>
      <w:r w:rsidR="000D1791" w:rsidRPr="000D1791">
        <w:t>[7]</w:t>
      </w:r>
      <w:r w:rsidRPr="00C47481">
        <w:fldChar w:fldCharType="end"/>
      </w:r>
      <w:r w:rsidRPr="00C47481">
        <w:t>, Equation (</w:t>
      </w:r>
      <w:r w:rsidR="00672FC1">
        <w:t>1</w:t>
      </w:r>
      <w:r w:rsidRPr="00C47481">
        <w:t xml:space="preserve">) </w:t>
      </w:r>
      <w:r w:rsidR="00D7053E">
        <w:t xml:space="preserve">is </w:t>
      </w:r>
      <w:r w:rsidR="00D7053E" w:rsidRPr="00C47481">
        <w:t>approximate</w:t>
      </w:r>
      <w:r w:rsidR="00D7053E">
        <w:t xml:space="preserve">d with </w:t>
      </w:r>
      <w:r w:rsidRPr="00C47481">
        <w:rPr>
          <w:rFonts w:eastAsiaTheme="minorEastAsia"/>
        </w:rPr>
        <w:t>the piecewise linear degree</w:t>
      </w:r>
      <w:r w:rsidR="00C65687" w:rsidRPr="00C47481">
        <w:rPr>
          <w:rFonts w:eastAsiaTheme="minorEastAsia"/>
        </w:rPr>
        <w:t>-</w:t>
      </w:r>
      <w:r w:rsidRPr="00C47481">
        <w:rPr>
          <w:rFonts w:eastAsiaTheme="minorEastAsia"/>
        </w:rPr>
        <w:t>day approach, which is like the concept of growing degree</w:t>
      </w:r>
      <w:r w:rsidR="00C65687" w:rsidRPr="00C47481">
        <w:rPr>
          <w:rFonts w:eastAsiaTheme="minorEastAsia"/>
        </w:rPr>
        <w:t>-</w:t>
      </w:r>
      <w:r w:rsidRPr="00C47481">
        <w:rPr>
          <w:rFonts w:eastAsiaTheme="minorEastAsia"/>
        </w:rPr>
        <w:t>days where alfalfa yield growth increases linearly up to an endogenous temperature threshold (</w:t>
      </w:r>
      <w:r w:rsidR="000307B4" w:rsidRPr="00C47481">
        <w:rPr>
          <w:rFonts w:eastAsiaTheme="minorEastAsia"/>
        </w:rPr>
        <w:t>i.e.,</w:t>
      </w:r>
      <w:r w:rsidRPr="00C47481">
        <w:rPr>
          <w:rFonts w:eastAsiaTheme="minorEastAsia"/>
        </w:rPr>
        <w:t xml:space="preserve"> the optimal temperature) and then decreases linearly for every 1°C increase above that threshold. The specification for the degree</w:t>
      </w:r>
      <w:r w:rsidR="00D42CA3" w:rsidRPr="00C47481">
        <w:rPr>
          <w:rFonts w:eastAsiaTheme="minorEastAsia"/>
        </w:rPr>
        <w:t>-</w:t>
      </w:r>
      <w:r w:rsidRPr="00C47481">
        <w:rPr>
          <w:rFonts w:eastAsiaTheme="minorEastAsia"/>
        </w:rPr>
        <w:t>day model is given by</w:t>
      </w:r>
      <w:r w:rsidR="006A416F" w:rsidRPr="00C47481">
        <w:rPr>
          <w:rFonts w:eastAsiaTheme="minorEastAsia"/>
        </w:rPr>
        <w:t>:</w:t>
      </w:r>
    </w:p>
    <w:p w14:paraId="0B9D8FBE" w14:textId="1126CA58" w:rsidR="00A1269F" w:rsidRDefault="00000000" w:rsidP="00E408A0">
      <w:pPr>
        <w:rPr>
          <w:rFonts w:eastAsiaTheme="minorEastAsia"/>
        </w:rPr>
      </w:pPr>
      <m:oMath>
        <m:func>
          <m:funcPr>
            <m:ctrlPr>
              <w:rPr>
                <w:rFonts w:ascii="Cambria Math" w:hAnsi="Cambria Math"/>
              </w:rPr>
            </m:ctrlPr>
          </m:funcPr>
          <m:fName>
            <m:r>
              <m:rPr>
                <m:sty m:val="p"/>
              </m:rPr>
              <w:rPr>
                <w:rFonts w:ascii="Cambria Math" w:hAnsi="Cambria Math"/>
              </w:rPr>
              <m:t>ln</m:t>
            </m:r>
          </m:fName>
          <m:e>
            <m:sSub>
              <m:sSubPr>
                <m:ctrlPr>
                  <w:rPr>
                    <w:rFonts w:ascii="Cambria Math" w:hAnsi="Cambria Math"/>
                  </w:rPr>
                </m:ctrlPr>
              </m:sSubPr>
              <m:e>
                <m:r>
                  <w:rPr>
                    <w:rFonts w:ascii="Cambria Math" w:hAnsi="Cambria Math"/>
                  </w:rPr>
                  <m:t>y</m:t>
                </m:r>
              </m:e>
              <m:sub>
                <m:r>
                  <w:rPr>
                    <w:rFonts w:ascii="Cambria Math" w:hAnsi="Cambria Math"/>
                  </w:rPr>
                  <m:t>it</m:t>
                </m:r>
              </m:sub>
            </m:sSub>
          </m:e>
        </m:func>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sSub>
          <m:sSubPr>
            <m:ctrlPr>
              <w:rPr>
                <w:rFonts w:ascii="Cambria Math" w:hAnsi="Cambria Math"/>
              </w:rPr>
            </m:ctrlPr>
          </m:sSubPr>
          <m:e>
            <m:r>
              <w:rPr>
                <w:rFonts w:ascii="Cambria Math" w:hAnsi="Cambria Math"/>
              </w:rPr>
              <m:t>DDL</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DDM</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sSub>
          <m:sSubPr>
            <m:ctrlPr>
              <w:rPr>
                <w:rFonts w:ascii="Cambria Math" w:hAnsi="Cambria Math"/>
              </w:rPr>
            </m:ctrlPr>
          </m:sSubPr>
          <m:e>
            <m:r>
              <w:rPr>
                <w:rFonts w:ascii="Cambria Math" w:hAnsi="Cambria Math"/>
              </w:rPr>
              <m:t>DDH</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it</m:t>
            </m:r>
          </m:sub>
        </m:sSub>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oMath>
      <w:r w:rsidR="00A1269F" w:rsidRPr="00C47481">
        <w:rPr>
          <w:rFonts w:eastAsiaTheme="minorEastAsia"/>
        </w:rPr>
        <w:t xml:space="preserve"> </w:t>
      </w:r>
      <w:r w:rsidR="00A1269F" w:rsidRPr="00C47481">
        <w:rPr>
          <w:rFonts w:eastAsiaTheme="minorEastAsia"/>
        </w:rPr>
        <w:tab/>
      </w:r>
      <w:r w:rsidR="0035783E">
        <w:rPr>
          <w:rFonts w:eastAsiaTheme="minorEastAsia"/>
        </w:rPr>
        <w:tab/>
      </w:r>
      <w:r w:rsidR="000D6E9B">
        <w:rPr>
          <w:rFonts w:eastAsiaTheme="minorEastAsia"/>
        </w:rPr>
        <w:tab/>
      </w:r>
      <w:r w:rsidR="0035783E" w:rsidRPr="00C47481">
        <w:rPr>
          <w:rFonts w:eastAsiaTheme="minorEastAsia"/>
        </w:rPr>
        <w:t xml:space="preserve"> </w:t>
      </w:r>
      <w:r w:rsidR="00A1269F" w:rsidRPr="00C47481">
        <w:rPr>
          <w:rFonts w:eastAsiaTheme="minorEastAsia"/>
        </w:rPr>
        <w:t>(</w:t>
      </w:r>
      <w:r w:rsidR="002741D2">
        <w:rPr>
          <w:rFonts w:eastAsiaTheme="minorEastAsia"/>
        </w:rPr>
        <w:t>2</w:t>
      </w:r>
      <w:r w:rsidR="00A1269F" w:rsidRPr="00C47481">
        <w:rPr>
          <w:rFonts w:eastAsiaTheme="minorEastAsia"/>
        </w:rPr>
        <w:t>)</w:t>
      </w:r>
    </w:p>
    <w:p w14:paraId="2340FCCB" w14:textId="6F74A3C0" w:rsidR="0035783E" w:rsidRDefault="000562AA" w:rsidP="00E408A0">
      <w:r w:rsidRPr="000562AA">
        <w:t xml:space="preserve">The three temperature variables, </w:t>
      </w:r>
      <m:oMath>
        <m:sSub>
          <m:sSubPr>
            <m:ctrlPr>
              <w:rPr>
                <w:rFonts w:ascii="Cambria Math" w:hAnsi="Cambria Math"/>
                <w:i/>
              </w:rPr>
            </m:ctrlPr>
          </m:sSubPr>
          <m:e>
            <m:r>
              <w:rPr>
                <w:rFonts w:ascii="Cambria Math" w:hAnsi="Cambria Math"/>
              </w:rPr>
              <m:t>DDL</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DDM</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DDH</m:t>
            </m:r>
          </m:e>
          <m:sub>
            <m:r>
              <w:rPr>
                <w:rFonts w:ascii="Cambria Math" w:hAnsi="Cambria Math"/>
              </w:rPr>
              <m:t>it</m:t>
            </m:r>
          </m:sub>
        </m:sSub>
      </m:oMath>
      <w:r w:rsidRPr="000562AA">
        <w:t>, capture respectively degree days between zero and the lower threshold, the lower threshold and the upper threshold, and above the upper threshold. Essentially, these variables admit a piecewise linear relation between temperature and log yield over three ranges of temperatures defined endogenously by the placement of cut points (thresholds).</w:t>
      </w:r>
      <w:r w:rsidR="003751DE">
        <w:t xml:space="preserve"> </w:t>
      </w:r>
      <w:r w:rsidR="003751DE" w:rsidRPr="00C47481">
        <w:t>The temperature thresholds are endogenously determined</w:t>
      </w:r>
      <w:r w:rsidR="003751DE">
        <w:t xml:space="preserve"> </w:t>
      </w:r>
      <w:r w:rsidR="003751DE" w:rsidRPr="00C47481">
        <w:t xml:space="preserve">by looping over all </w:t>
      </w:r>
      <w:r w:rsidR="003751DE" w:rsidRPr="00C47481">
        <w:lastRenderedPageBreak/>
        <w:t>threshold-pairs between 0-39°C, estimate the least-squares segment slopes for each pair, and then pick the threshold and segment slopes that have the best model fit in terms of R-squared.</w:t>
      </w:r>
      <w:r w:rsidR="0031113E">
        <w:t xml:space="preserve"> </w:t>
      </w:r>
      <w:r w:rsidR="00D7053E">
        <w:t xml:space="preserve">This looping produced </w:t>
      </w:r>
      <w:r w:rsidR="001B62E9">
        <w:t>lower</w:t>
      </w:r>
      <w:r w:rsidR="00D7053E">
        <w:t xml:space="preserve"> and </w:t>
      </w:r>
      <w:r w:rsidR="00D7053E" w:rsidRPr="000562AA">
        <w:t>upper</w:t>
      </w:r>
      <w:r w:rsidR="00D7053E">
        <w:t xml:space="preserve"> temperature </w:t>
      </w:r>
      <w:r w:rsidR="00D7053E" w:rsidRPr="000562AA">
        <w:t>threshold</w:t>
      </w:r>
      <w:r w:rsidR="00D7053E">
        <w:t>s at 1</w:t>
      </w:r>
      <w:r w:rsidR="00610CD3">
        <w:t>4</w:t>
      </w:r>
      <w:r w:rsidR="00D7053E" w:rsidRPr="00C47481">
        <w:t>°C</w:t>
      </w:r>
      <w:r w:rsidR="00D7053E">
        <w:t xml:space="preserve"> and 29</w:t>
      </w:r>
      <w:r w:rsidR="00D7053E" w:rsidRPr="00C47481">
        <w:t>°C</w:t>
      </w:r>
      <w:r w:rsidR="00D7053E">
        <w:t>, respectively. Finally, w</w:t>
      </w:r>
      <w:r w:rsidR="007935AE" w:rsidRPr="007935AE">
        <w:t>e</w:t>
      </w:r>
      <w:r w:rsidR="007935AE">
        <w:t xml:space="preserve"> </w:t>
      </w:r>
      <w:r w:rsidR="007935AE" w:rsidRPr="007935AE">
        <w:t>cluster the standard errors at year level to account for possible spatial correlations</w:t>
      </w:r>
      <w:r w:rsidR="008F3BB9">
        <w:t xml:space="preserve"> as </w:t>
      </w:r>
      <w:r w:rsidR="00F06031">
        <w:t xml:space="preserve">done in related works </w:t>
      </w:r>
      <w:r w:rsidR="00A74948">
        <w:fldChar w:fldCharType="begin"/>
      </w:r>
      <w:r w:rsidR="000D1791">
        <w:instrText xml:space="preserve"> ADDIN ZOTERO_ITEM CSL_CITATION {"citationID":"h0Ace29g","properties":{"formattedCitation":"[27], [28]","plainCitation":"[27], [28]","noteIndex":0},"citationItems":[{"id":"h6RDF2am/EQNvalg8","uris":["http://zotero.org/users/17422379/items/7KLSMJJZ"],"itemData":{"id":113,"type":"article-journal","abstract":"In corporate finance and asset pricing empirical work, researchers are often confronted with panel data. In these data sets, the residuals may be correlated across firms or across time, and OLS standard errors can be biased. Historically, researchers in the two literatures have used different solutions to this problem. This paper examines the different methods used in the literature and explains when the different methods yield the same (and correct) standard errors and when they diverge. The intent is to provide intuition as to why the different approaches sometimes give different answers and give researchers guidance for their use.","container-title":"The Review of Financial Studies","DOI":"10.1093/rfs/hhn053","ISSN":"0893-9454","issue":"1","journalAbbreviation":"Rev Financ Stud","page":"435-480","source":"Silverchair","title":"Estimating Standard Errors in Finance Panel Data Sets: Comparing Approaches","title-short":"Estimating Standard Errors in Finance Panel Data Sets","volume":"22","author":[{"family":"Petersen","given":"Mitchell A."}],"issued":{"date-parts":[["2009",1,1]]}}},{"id":"h6RDF2am/Lxjk2YMH","uris":["http://zotero.org/users/17422379/items/KABJ49Q2"],"itemData":{"id":146,"type":"article-journal","abstract":"In this article we propose a variance estimator for the OLS estimator as well as for nonlinear estimators such as logit, probit, and GMM. This variance estimator enables cluster-robust inference when there is two-way or multiway clustering that is nonnested. The variance estimator extends the standard cluster-robust variance estimator or sandwich estimator for one-way clustering (e.g., Liang and Zeger 1986; Arellano 1987) and relies on similar relatively weak distributional assumptions. Our method is easily implemented in statistical packages, such as Stata and SAS, that already offer cluster-robust standard errors when there is one-way clustering. The method is demonstrated by a Monte Carlo analysis for a two-way random effects model; a Monte Carlo analysis of a placebo law that extends the state–year effects example of Bertrand, Duflo, and Mullainathan (2004) to two dimensions; and by application to studies in the empirical literature where two-way clustering is present.","container-title":"Journal of Business &amp; Economic Statistics","DOI":"10.1198/jbes.2010.07136","ISSN":"0735-0015","issue":"2","note":"_eprint: https://doi.org/10.1198/jbes.2010.07136","page":"238-249","publisher":"Taylor &amp; Francis","source":"Taylor and Francis+NEJM","title":"Robust Inference With Multiway Clustering","volume":"29","author":[{"family":"Cameron","given":"A. Colin"},{"family":"Gelbach","given":"Jonah B."},{"family":"Miller","given":"Douglas L."}],"issued":{"date-parts":[["2011",4,1]]}}}],"schema":"https://github.com/citation-style-language/schema/raw/master/csl-citation.json"} </w:instrText>
      </w:r>
      <w:r w:rsidR="00A74948">
        <w:fldChar w:fldCharType="separate"/>
      </w:r>
      <w:r w:rsidR="000D1791" w:rsidRPr="000D1791">
        <w:t>[27], [28]</w:t>
      </w:r>
      <w:r w:rsidR="00A74948">
        <w:fldChar w:fldCharType="end"/>
      </w:r>
      <w:r w:rsidR="00F06031">
        <w:t>.</w:t>
      </w:r>
    </w:p>
    <w:p w14:paraId="37AA55D3" w14:textId="3F72DA37" w:rsidR="00A1269F" w:rsidRPr="00C47481" w:rsidRDefault="00A1269F" w:rsidP="00E408A0">
      <w:r w:rsidRPr="00C47481">
        <w:t>The Representative Concentration Pathway (RCP) trajectory adopted by the Intergovernmental Panel on Climate Change (IPCC) for its fifth Assessment Report (AR5) in 2014 suggests global warming increase projections that range from 0.4</w:t>
      </w:r>
      <w:r w:rsidR="003A74C0" w:rsidRPr="00C47481">
        <w:t xml:space="preserve"> to </w:t>
      </w:r>
      <w:r w:rsidRPr="00C47481">
        <w:t>4.8</w:t>
      </w:r>
      <w:r w:rsidRPr="00C47481">
        <w:rPr>
          <w:rFonts w:eastAsiaTheme="minorEastAsia"/>
        </w:rPr>
        <w:t>°C</w:t>
      </w:r>
      <w:r w:rsidRPr="00C47481">
        <w:t xml:space="preserve"> </w:t>
      </w:r>
      <w:r w:rsidR="00B64C7B" w:rsidRPr="00C47481">
        <w:rPr>
          <w:color w:val="4472C4" w:themeColor="accent5"/>
        </w:rPr>
        <w:fldChar w:fldCharType="begin" w:fldLock="1"/>
      </w:r>
      <w:r w:rsidR="000D1791">
        <w:rPr>
          <w:color w:val="4472C4" w:themeColor="accent5"/>
        </w:rPr>
        <w:instrText xml:space="preserve"> ADDIN ZOTERO_ITEM CSL_CITATION {"citationID":"xGTqEFlZ","properties":{"formattedCitation":"[2]","plainCitation":"[2]","noteIndex":0},"citationItems":[{"id":1441,"uris":["http://www.mendeley.com/documents/?uuid=174c684e-8014-4982-bc46-6d4f5225e8da","http://zotero.org/users/12297313/items/3ZQZVQKW"],"itemData":{"id":1441,"type":"book","abstract":"This latest Fifth Assessment Report of the Intergovernmental Panel on Climate Change (IPCC) will again form the standard scientific reference for all those concerned with climate change and its consequences, including students and researchers in environmental science, meteorology, climatology, biology, ecology and atmospheric chemistry. It provides invaluable material for decision makers and stakeholders: international, national, local; and in all branches: government, businesses, and NGOs. This volume provides: An authoritative and unbiased overview of the physical science basis of climate change • A more extensive assessment of changes observed throughout the climate system than ever before • New dedicated chapters on sea-level change, biogeochemical cycles, clouds and aerosols, and regional climate phenomena • A more extensive coverage of model projections, both near-term and long-term climate projections • A detailed assessment of climate change observations, modelling, and attribution for every continent • A new comprehensive atlas of global and regional climate projections for 35 regions of the world.","citation-key":"intergovernmentalpanelonclimatechangeipccClimateChange20132013","DOI":"10.1017/CBO9781107415324","ISBN":"978-1-107-41532-4","number-of-pages":"1535","publisher":"Cambridge University Press","publisher-place":"Cambridge","title":"Climate Change 2013 the Physical Science Basis: Working Group I Contribution to the Fifth Assessment Report of the Intergovernmental Panel on Climate Change","URL":"http://ebooks.cambridge.org/ref/id/CBO9781107415324","author":[{"literal":"Intergovernmental Panel on Climate Change (IPCC)"}],"editor":[{"family":"Stocker","given":"Thomas F."},{"family":"Qin","given":"Dahe"},{"family":"Plattner","given":"Gian Kasper"},{"family":"Tignor","given":"Melinda M.B."},{"family":"Allen","given":"Simon K."},{"family":"Boschung","given":"Judith"},{"family":"Nauels","given":"Alexander"},{"family":"Xia","given":"Yu"},{"family":"Bex","given":"Vincent"},{"family":"Midgley","given":"Pauline M."}],"issued":{"date-parts":[["2013"]]}}}],"schema":"https://github.com/citation-style-language/schema/raw/master/csl-citation.json"} </w:instrText>
      </w:r>
      <w:r w:rsidR="00B64C7B" w:rsidRPr="00C47481">
        <w:rPr>
          <w:color w:val="4472C4" w:themeColor="accent5"/>
        </w:rPr>
        <w:fldChar w:fldCharType="separate"/>
      </w:r>
      <w:r w:rsidR="000D1791" w:rsidRPr="000D1791">
        <w:t>[2]</w:t>
      </w:r>
      <w:r w:rsidR="00B64C7B" w:rsidRPr="00C47481">
        <w:rPr>
          <w:color w:val="4472C4" w:themeColor="accent5"/>
        </w:rPr>
        <w:fldChar w:fldCharType="end"/>
      </w:r>
      <w:r w:rsidRPr="00C47481">
        <w:t>.</w:t>
      </w:r>
      <w:r w:rsidR="006E407B" w:rsidRPr="00C47481">
        <w:t xml:space="preserve"> T</w:t>
      </w:r>
      <w:r w:rsidRPr="00C47481">
        <w:t>h</w:t>
      </w:r>
      <w:r w:rsidR="00DA7DBC" w:rsidRPr="00C47481">
        <w:t>is</w:t>
      </w:r>
      <w:r w:rsidRPr="00C47481">
        <w:t xml:space="preserve"> study considers warming scenarios of </w:t>
      </w:r>
      <w:r w:rsidR="00E70B49">
        <w:rPr>
          <w:rFonts w:eastAsiaTheme="minorEastAsia"/>
        </w:rPr>
        <w:t>0.5</w:t>
      </w:r>
      <w:r w:rsidRPr="00C47481">
        <w:rPr>
          <w:rFonts w:eastAsiaTheme="minorEastAsia"/>
        </w:rPr>
        <w:t xml:space="preserve"> to </w:t>
      </w:r>
      <w:r w:rsidR="00E70B49">
        <w:rPr>
          <w:rFonts w:eastAsiaTheme="minorEastAsia"/>
        </w:rPr>
        <w:t>3</w:t>
      </w:r>
      <w:r w:rsidRPr="00C47481">
        <w:rPr>
          <w:rFonts w:eastAsiaTheme="minorEastAsia"/>
        </w:rPr>
        <w:t xml:space="preserve">°C </w:t>
      </w:r>
      <w:r w:rsidR="00FF18D2">
        <w:rPr>
          <w:rFonts w:eastAsiaTheme="minorEastAsia"/>
        </w:rPr>
        <w:t xml:space="preserve">in 0.5 increments </w:t>
      </w:r>
      <w:r w:rsidRPr="00C47481">
        <w:rPr>
          <w:rFonts w:eastAsiaTheme="minorEastAsia"/>
        </w:rPr>
        <w:t>to ascertain the respective changes in alfalfa yields</w:t>
      </w:r>
      <w:r w:rsidRPr="00C47481">
        <w:t>. The predictions for each scenario w</w:t>
      </w:r>
      <w:r w:rsidR="00D42CA3" w:rsidRPr="00C47481">
        <w:t>ere</w:t>
      </w:r>
      <w:r w:rsidRPr="00C47481">
        <w:t xml:space="preserve"> obtained via a three-step process. First, </w:t>
      </w:r>
      <w:r w:rsidR="00C65687" w:rsidRPr="00C47481">
        <w:t xml:space="preserve">each </w:t>
      </w:r>
      <w:r w:rsidRPr="00C47481">
        <w:t xml:space="preserve">daily temperature </w:t>
      </w:r>
      <w:r w:rsidR="00C65687" w:rsidRPr="00C47481">
        <w:t xml:space="preserve">observation </w:t>
      </w:r>
      <w:r w:rsidRPr="00C47481">
        <w:t xml:space="preserve">for the periods and location in the dataset was increased by the respective warming scenario. For instance, daily min and max temperatures of -15 and 18 </w:t>
      </w:r>
      <w:r w:rsidRPr="00C47481">
        <w:rPr>
          <w:rFonts w:eastAsiaTheme="minorEastAsia"/>
        </w:rPr>
        <w:t>°C</w:t>
      </w:r>
      <w:r w:rsidRPr="00C47481">
        <w:t xml:space="preserve"> recorded on say July 8, 1986</w:t>
      </w:r>
      <w:r w:rsidR="00D42CA3" w:rsidRPr="00C47481">
        <w:t>,</w:t>
      </w:r>
      <w:r w:rsidRPr="00C47481">
        <w:t xml:space="preserve"> w</w:t>
      </w:r>
      <w:r w:rsidR="00073540" w:rsidRPr="00C47481">
        <w:t>ere</w:t>
      </w:r>
      <w:r w:rsidRPr="00C47481">
        <w:t xml:space="preserve"> changed to (-1</w:t>
      </w:r>
      <w:r w:rsidR="00910D67" w:rsidRPr="00C47481">
        <w:t>5</w:t>
      </w:r>
      <w:r w:rsidRPr="00C47481">
        <w:t xml:space="preserve"> +</w:t>
      </w:r>
      <w:r w:rsidRPr="00C47481">
        <w:rPr>
          <w:rFonts w:eastAsiaTheme="minorEastAsia"/>
        </w:rPr>
        <w:t xml:space="preserve"> </w:t>
      </w:r>
      <w:r w:rsidR="00FF18D2" w:rsidRPr="00FF18D2">
        <w:rPr>
          <w:rFonts w:eastAsiaTheme="minorEastAsia"/>
          <w:i/>
          <w:iCs/>
        </w:rPr>
        <w:t>k</w:t>
      </w:r>
      <w:r w:rsidRPr="00C47481">
        <w:rPr>
          <w:rFonts w:eastAsiaTheme="minorEastAsia"/>
        </w:rPr>
        <w:t>)</w:t>
      </w:r>
      <w:r w:rsidRPr="00C47481">
        <w:t xml:space="preserve"> and (18 + </w:t>
      </w:r>
      <w:r w:rsidR="00FF18D2" w:rsidRPr="00FF18D2">
        <w:rPr>
          <w:rFonts w:eastAsiaTheme="minorEastAsia"/>
          <w:i/>
          <w:iCs/>
        </w:rPr>
        <w:t>k</w:t>
      </w:r>
      <w:r w:rsidRPr="00C47481">
        <w:t xml:space="preserve">) </w:t>
      </w:r>
      <w:r w:rsidRPr="00C47481">
        <w:rPr>
          <w:rFonts w:eastAsiaTheme="minorEastAsia"/>
        </w:rPr>
        <w:t xml:space="preserve">°C for the case of the </w:t>
      </w:r>
      <w:r w:rsidR="00FF18D2" w:rsidRPr="00FF18D2">
        <w:rPr>
          <w:rFonts w:eastAsiaTheme="minorEastAsia"/>
          <w:i/>
          <w:iCs/>
        </w:rPr>
        <w:t>k</w:t>
      </w:r>
      <w:r w:rsidRPr="00C47481">
        <w:rPr>
          <w:rFonts w:eastAsiaTheme="minorEastAsia"/>
        </w:rPr>
        <w:t xml:space="preserve">°C warming </w:t>
      </w:r>
      <w:r w:rsidRPr="00C47481">
        <w:t>scenario, respectively. Using these new temperatures, the study then calculates the associated degree</w:t>
      </w:r>
      <w:r w:rsidR="00C65687" w:rsidRPr="00C47481">
        <w:t>-</w:t>
      </w:r>
      <w:r w:rsidRPr="00C47481">
        <w:t xml:space="preserve">days as </w:t>
      </w:r>
      <m:oMath>
        <m:sSub>
          <m:sSubPr>
            <m:ctrlPr>
              <w:rPr>
                <w:rFonts w:ascii="Cambria Math" w:hAnsi="Cambria Math"/>
                <w:i/>
              </w:rPr>
            </m:ctrlPr>
          </m:sSubPr>
          <m:e>
            <m:r>
              <w:rPr>
                <w:rFonts w:ascii="Cambria Math" w:hAnsi="Cambria Math"/>
              </w:rPr>
              <m:t>DDL</m:t>
            </m:r>
          </m:e>
          <m:sub>
            <m:r>
              <w:rPr>
                <w:rFonts w:ascii="Cambria Math" w:hAnsi="Cambria Math"/>
              </w:rPr>
              <m:t>k</m:t>
            </m:r>
          </m:sub>
        </m:sSub>
      </m:oMath>
      <w:r w:rsidRPr="00C47481">
        <w:rPr>
          <w:rFonts w:eastAsiaTheme="minorEastAsia"/>
        </w:rPr>
        <w:t xml:space="preserve">, </w:t>
      </w:r>
      <m:oMath>
        <m:sSub>
          <m:sSubPr>
            <m:ctrlPr>
              <w:rPr>
                <w:rFonts w:ascii="Cambria Math" w:hAnsi="Cambria Math"/>
                <w:i/>
              </w:rPr>
            </m:ctrlPr>
          </m:sSubPr>
          <m:e>
            <m:r>
              <w:rPr>
                <w:rFonts w:ascii="Cambria Math" w:hAnsi="Cambria Math"/>
              </w:rPr>
              <m:t>DDM</m:t>
            </m:r>
          </m:e>
          <m:sub>
            <m:r>
              <w:rPr>
                <w:rFonts w:ascii="Cambria Math" w:hAnsi="Cambria Math"/>
              </w:rPr>
              <m:t>k</m:t>
            </m:r>
          </m:sub>
        </m:sSub>
      </m:oMath>
      <w:r w:rsidRPr="00C47481">
        <w:rPr>
          <w:rFonts w:eastAsiaTheme="minorEastAsia"/>
        </w:rPr>
        <w:t xml:space="preserve">, and </w:t>
      </w:r>
      <m:oMath>
        <m:sSub>
          <m:sSubPr>
            <m:ctrlPr>
              <w:rPr>
                <w:rFonts w:ascii="Cambria Math" w:hAnsi="Cambria Math"/>
                <w:i/>
              </w:rPr>
            </m:ctrlPr>
          </m:sSubPr>
          <m:e>
            <m:r>
              <w:rPr>
                <w:rFonts w:ascii="Cambria Math" w:hAnsi="Cambria Math"/>
              </w:rPr>
              <m:t>DDH</m:t>
            </m:r>
          </m:e>
          <m:sub>
            <m:r>
              <w:rPr>
                <w:rFonts w:ascii="Cambria Math" w:hAnsi="Cambria Math"/>
              </w:rPr>
              <m:t>k</m:t>
            </m:r>
          </m:sub>
        </m:sSub>
      </m:oMath>
      <w:r w:rsidRPr="00C47481">
        <w:rPr>
          <w:rFonts w:eastAsiaTheme="minorEastAsia"/>
        </w:rPr>
        <w:t>. Finally, g</w:t>
      </w:r>
      <w:r w:rsidRPr="00C47481">
        <w:t xml:space="preserve">iven the estimates from the </w:t>
      </w:r>
      <w:r w:rsidRPr="00C47481">
        <w:rPr>
          <w:rFonts w:eastAsiaTheme="minorEastAsia"/>
        </w:rPr>
        <w:t>piecewise linear degree</w:t>
      </w:r>
      <w:r w:rsidR="00C65687" w:rsidRPr="00C47481">
        <w:rPr>
          <w:rFonts w:eastAsiaTheme="minorEastAsia"/>
        </w:rPr>
        <w:t>-</w:t>
      </w:r>
      <w:r w:rsidRPr="00C47481">
        <w:rPr>
          <w:rFonts w:eastAsiaTheme="minorEastAsia"/>
        </w:rPr>
        <w:t xml:space="preserve">day approach, the predicted percentage change in alfalfa yield following an </w:t>
      </w:r>
      <w:r w:rsidR="00FF18D2" w:rsidRPr="00FF18D2">
        <w:rPr>
          <w:rFonts w:eastAsiaTheme="minorEastAsia"/>
          <w:i/>
          <w:iCs/>
        </w:rPr>
        <w:t>k</w:t>
      </w:r>
      <w:r w:rsidRPr="00C47481">
        <w:rPr>
          <w:rFonts w:eastAsiaTheme="minorEastAsia"/>
        </w:rPr>
        <w:t xml:space="preserve">°C increase in temperature is estimated as </w:t>
      </w:r>
    </w:p>
    <w:p w14:paraId="1CAB4D95" w14:textId="1EF2D3E1" w:rsidR="00A1269F" w:rsidRDefault="00000000" w:rsidP="00E408A0">
      <w:pPr>
        <w:rPr>
          <w:rFonts w:eastAsiaTheme="minorEastAsia"/>
        </w:rPr>
      </w:pPr>
      <m:oMath>
        <m:sSub>
          <m:sSubPr>
            <m:ctrlPr>
              <w:rPr>
                <w:rFonts w:ascii="Cambria Math" w:hAnsi="Cambria Math"/>
                <w:i/>
              </w:rPr>
            </m:ctrlPr>
          </m:sSubPr>
          <m:e>
            <m:r>
              <w:rPr>
                <w:rFonts w:ascii="Cambria Math" w:hAnsi="Cambria Math"/>
              </w:rPr>
              <m:t>θ</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DDL</m:t>
                        </m:r>
                      </m:e>
                      <m:sub>
                        <m:r>
                          <w:rPr>
                            <w:rFonts w:ascii="Cambria Math" w:hAnsi="Cambria Math"/>
                          </w:rPr>
                          <m:t>k</m:t>
                        </m:r>
                      </m:sub>
                    </m:sSub>
                    <m:r>
                      <m:rPr>
                        <m:sty m:val="p"/>
                      </m:rPr>
                      <w:rPr>
                        <w:rFonts w:ascii="Cambria Math" w:hAnsi="Cambria Math"/>
                      </w:rPr>
                      <m:t>-</m:t>
                    </m:r>
                    <m:r>
                      <w:rPr>
                        <w:rFonts w:ascii="Cambria Math" w:hAnsi="Cambria Math"/>
                      </w:rPr>
                      <m:t>DDL</m:t>
                    </m:r>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DDM</m:t>
                        </m:r>
                      </m:e>
                      <m:sub>
                        <m:r>
                          <w:rPr>
                            <w:rFonts w:ascii="Cambria Math" w:hAnsi="Cambria Math"/>
                          </w:rPr>
                          <m:t>k</m:t>
                        </m:r>
                      </m:sub>
                    </m:sSub>
                    <m:r>
                      <m:rPr>
                        <m:sty m:val="p"/>
                      </m:rPr>
                      <w:rPr>
                        <w:rFonts w:ascii="Cambria Math" w:hAnsi="Cambria Math"/>
                      </w:rPr>
                      <m:t>-</m:t>
                    </m:r>
                    <m:r>
                      <w:rPr>
                        <w:rFonts w:ascii="Cambria Math" w:hAnsi="Cambria Math"/>
                      </w:rPr>
                      <m:t>DDM</m:t>
                    </m:r>
                  </m:e>
                </m:d>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H</m:t>
                    </m:r>
                  </m:sub>
                </m:sSub>
                <m:d>
                  <m:dPr>
                    <m:ctrlPr>
                      <w:rPr>
                        <w:rFonts w:ascii="Cambria Math" w:hAnsi="Cambria Math"/>
                      </w:rPr>
                    </m:ctrlPr>
                  </m:dPr>
                  <m:e>
                    <m:sSub>
                      <m:sSubPr>
                        <m:ctrlPr>
                          <w:rPr>
                            <w:rFonts w:ascii="Cambria Math" w:hAnsi="Cambria Math"/>
                          </w:rPr>
                        </m:ctrlPr>
                      </m:sSubPr>
                      <m:e>
                        <m:r>
                          <w:rPr>
                            <w:rFonts w:ascii="Cambria Math" w:hAnsi="Cambria Math"/>
                          </w:rPr>
                          <m:t>DDH</m:t>
                        </m:r>
                      </m:e>
                      <m:sub>
                        <m:r>
                          <w:rPr>
                            <w:rFonts w:ascii="Cambria Math" w:hAnsi="Cambria Math"/>
                          </w:rPr>
                          <m:t>k</m:t>
                        </m:r>
                      </m:sub>
                    </m:sSub>
                    <m:r>
                      <m:rPr>
                        <m:sty m:val="p"/>
                      </m:rPr>
                      <w:rPr>
                        <w:rFonts w:ascii="Cambria Math" w:hAnsi="Cambria Math"/>
                      </w:rPr>
                      <m:t>-</m:t>
                    </m:r>
                    <m:r>
                      <w:rPr>
                        <w:rFonts w:ascii="Cambria Math" w:hAnsi="Cambria Math"/>
                      </w:rPr>
                      <m:t>DDH</m:t>
                    </m:r>
                  </m:e>
                </m:d>
              </m:sup>
            </m:sSup>
            <m:r>
              <m:rPr>
                <m:sty m:val="p"/>
              </m:rPr>
              <w:rPr>
                <w:rFonts w:ascii="Cambria Math" w:hAnsi="Cambria Math"/>
              </w:rPr>
              <m:t>-1</m:t>
            </m:r>
          </m:e>
        </m:d>
        <m:r>
          <m:rPr>
            <m:sty m:val="p"/>
          </m:rPr>
          <w:rPr>
            <w:rFonts w:ascii="Cambria Math" w:hAnsi="Cambria Math"/>
          </w:rPr>
          <m:t>×100%</m:t>
        </m:r>
      </m:oMath>
      <w:r w:rsidR="00DA7DBC" w:rsidRPr="00C47481">
        <w:rPr>
          <w:rFonts w:eastAsiaTheme="minorEastAsia"/>
        </w:rPr>
        <w:t>.</w:t>
      </w:r>
      <w:r w:rsidR="00A1269F" w:rsidRPr="00C47481">
        <w:rPr>
          <w:rFonts w:eastAsiaTheme="minorEastAsia"/>
        </w:rPr>
        <w:tab/>
      </w:r>
      <w:r w:rsidR="00A1269F" w:rsidRPr="00C47481">
        <w:rPr>
          <w:rFonts w:eastAsiaTheme="minorEastAsia"/>
        </w:rPr>
        <w:tab/>
      </w:r>
      <w:r w:rsidR="000E1837">
        <w:rPr>
          <w:rFonts w:eastAsiaTheme="minorEastAsia"/>
        </w:rPr>
        <w:tab/>
      </w:r>
      <w:r w:rsidR="000E1837">
        <w:rPr>
          <w:rFonts w:eastAsiaTheme="minorEastAsia"/>
        </w:rPr>
        <w:tab/>
      </w:r>
      <w:r w:rsidR="00A1269F" w:rsidRPr="00C47481">
        <w:rPr>
          <w:rFonts w:eastAsiaTheme="minorEastAsia"/>
        </w:rPr>
        <w:t>(</w:t>
      </w:r>
      <w:r w:rsidR="002741D2">
        <w:rPr>
          <w:rFonts w:eastAsiaTheme="minorEastAsia"/>
        </w:rPr>
        <w:t>3</w:t>
      </w:r>
      <w:r w:rsidR="00A1269F" w:rsidRPr="00C47481">
        <w:rPr>
          <w:rFonts w:eastAsiaTheme="minorEastAsia"/>
        </w:rPr>
        <w:t>)</w:t>
      </w:r>
    </w:p>
    <w:p w14:paraId="7518A5EA" w14:textId="2D329045" w:rsidR="00110CC5" w:rsidRDefault="00B41348" w:rsidP="00B41348">
      <w:r>
        <w:t xml:space="preserve">We estimated yield shocks for each county based on specified warming scenarios. </w:t>
      </w:r>
    </w:p>
    <w:p w14:paraId="1A1A0CA4" w14:textId="28F7A78C" w:rsidR="00A1269F" w:rsidRDefault="004452C5" w:rsidP="00E408A0">
      <w:pPr>
        <w:pStyle w:val="Heading1"/>
      </w:pPr>
      <w:r>
        <w:lastRenderedPageBreak/>
        <w:t xml:space="preserve">4. </w:t>
      </w:r>
      <w:r w:rsidR="00A1269F" w:rsidRPr="00C47481">
        <w:t>Results</w:t>
      </w:r>
    </w:p>
    <w:p w14:paraId="45E69B0C" w14:textId="4FD11462" w:rsidR="00882C30" w:rsidRDefault="004452C5" w:rsidP="00B31B2A">
      <w:pPr>
        <w:pStyle w:val="Heading2"/>
        <w:tabs>
          <w:tab w:val="left" w:pos="1978"/>
        </w:tabs>
      </w:pPr>
      <w:r>
        <w:t>4.</w:t>
      </w:r>
      <w:r w:rsidR="003F7C8B">
        <w:t>1</w:t>
      </w:r>
      <w:r>
        <w:t xml:space="preserve"> </w:t>
      </w:r>
      <w:r w:rsidR="00C210F6">
        <w:t>Alfalfa</w:t>
      </w:r>
      <w:r w:rsidR="00C210F6" w:rsidRPr="00C663B1">
        <w:t xml:space="preserve"> </w:t>
      </w:r>
      <w:r w:rsidR="00C210F6">
        <w:rPr>
          <w:b w:val="0"/>
          <w:bCs/>
        </w:rPr>
        <w:t>h</w:t>
      </w:r>
      <w:r w:rsidR="00C210F6" w:rsidRPr="00625DD3">
        <w:rPr>
          <w:bCs/>
        </w:rPr>
        <w:t xml:space="preserve">ay </w:t>
      </w:r>
      <w:r w:rsidR="00C210F6" w:rsidRPr="00C663B1">
        <w:t xml:space="preserve">yields drop sharply with exposure to temperatures over </w:t>
      </w:r>
      <w:r w:rsidR="00C210F6">
        <w:t>29</w:t>
      </w:r>
      <w:r w:rsidR="00C210F6" w:rsidRPr="00C663B1">
        <w:t>°</w:t>
      </w:r>
      <w:r w:rsidR="00C210F6">
        <w:t>C</w:t>
      </w:r>
    </w:p>
    <w:p w14:paraId="601ACCD2" w14:textId="7D7FBBAC" w:rsidR="003E1480" w:rsidRDefault="00ED06F3" w:rsidP="00194A88">
      <w:r>
        <w:t xml:space="preserve">The coefficients of Equation (2) are presented in Table 2. We estimate Equation (2) across six different growing season weather aggregation windows, with our preferred </w:t>
      </w:r>
      <w:r w:rsidR="00397AB3">
        <w:t>five</w:t>
      </w:r>
      <w:r>
        <w:t xml:space="preserve">-month window achieving the </w:t>
      </w:r>
      <w:r w:rsidR="00397AB3">
        <w:t xml:space="preserve">second </w:t>
      </w:r>
      <w:r>
        <w:t>highest R-squared value of 0.26</w:t>
      </w:r>
      <w:r w:rsidR="00397AB3">
        <w:t>8</w:t>
      </w:r>
      <w:r>
        <w:t xml:space="preserve">. It is important to note that interpreting the estimated coefficients of the degree day variables requires caution, as a change in a degree day implies changes in the entire temperature distribution. However, several significant observations hold true regardless of the aggregation window. Increased exposure to beneficial heat (degree days between 14°C and 29°C) is positively correlated with crop yields, whereas exposure to harmful heat (degree days above 29°C) is negatively correlated. The relationship between temperature and alfalfa yields, using the seven-month window (Figure 3), shows that temperatures below 14°C result in </w:t>
      </w:r>
      <w:r w:rsidR="00A0518E">
        <w:t>significant</w:t>
      </w:r>
      <w:r>
        <w:t xml:space="preserve"> yield improvements of </w:t>
      </w:r>
      <m:oMath>
        <m:r>
          <w:rPr>
            <w:rFonts w:ascii="Cambria Math" w:hAnsi="Cambria Math"/>
          </w:rPr>
          <m:t>0.</m:t>
        </m:r>
        <m:r>
          <w:rPr>
            <w:rFonts w:ascii="Cambria Math" w:hAnsi="Cambria Math"/>
          </w:rPr>
          <m:t>671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Conversely, exposures from 14°C to 29°C yield a </w:t>
      </w:r>
      <w:r w:rsidR="00A0518E">
        <w:t>insignificant</w:t>
      </w:r>
      <w:r>
        <w:t xml:space="preserve"> </w:t>
      </w:r>
      <w:r w:rsidR="00A0518E">
        <w:t>reduction</w:t>
      </w:r>
      <w:r>
        <w:t xml:space="preserve"> of about </w:t>
      </w:r>
      <m:oMath>
        <m:r>
          <w:rPr>
            <w:rFonts w:ascii="Cambria Math" w:hAnsi="Cambria Math"/>
          </w:rPr>
          <m:t>0.0</m:t>
        </m:r>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However, temperatures above 29°C are associated with a significant yield reduction of </w:t>
      </w:r>
      <m:oMath>
        <m:r>
          <w:rPr>
            <w:rFonts w:ascii="Cambria Math" w:hAnsi="Cambria Math"/>
          </w:rPr>
          <m:t>2.047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indicating negative impacts from warming. Although the specific thresholds differ, the pattern of beneficial and detrimental temperature exposures observed in Figure 3 aligns with previous studies </w:t>
      </w:r>
      <w:r w:rsidR="00194A88" w:rsidRPr="00120612">
        <w:rPr>
          <w:color w:val="4472C4" w:themeColor="accent5"/>
        </w:rPr>
        <w:fldChar w:fldCharType="begin" w:fldLock="1"/>
      </w:r>
      <w:r w:rsidR="000D1791">
        <w:rPr>
          <w:color w:val="4472C4" w:themeColor="accent5"/>
        </w:rPr>
        <w:instrText xml:space="preserve"> ADDIN ZOTERO_ITEM CSL_CITATION {"citationID":"yUWSzluX","properties":{"formattedCitation":"[7], [8], [10]","plainCitation":"[7], [8], [10]","noteIndex":0},"citationItems":[{"id":2166,"uris":["http://www.mendeley.com/documents/?uuid=fa807162-75c4-4697-aae1-b8f6f31dba55","http://zotero.org/users/12297313/items/GYI8WSER"],"itemData":{"id":2166,"type":"article-journal","abstract":"The United States produces 41% of the world's corn and 38% of the world's soybeans. These crops comprise two of the four largest sources of caloric energy produced and are thus critical for world food supply. We pair a panel of county-level yields for these two crops, plus cotton (a warmer-weather crop), with a new fine-scale weather dataset that incorporates the whole distribution of temperatures within each day and across all days in the growing season. We find that yields increase with temperature up to 29° C for corn, 30° C for soybeans, and 32° C for cotton but that temperatures above these thresholds are very harmful. The slope of the decline above the optimum is significantly steeper than the incline below it. The same nonlinear and asymmetric relationship is found when we isolate either time-series or cross-sectional variations in temperatures and yields. This suggests limited historical adaptation of seed varieties or management practices to warmer temperatures because the cross-section includes farmers' adaptations to warmer climates and the time-series does not. Holding current growing regions fixed, area-weighted average yields are predicted to decrease by 30–46% before the end of the century under the slowest (B1) warming scenario and decrease by 63–82% under the most rapid warming scenario (A1FI) under the Hadley III model.","citation-key":"schlenkerNonlinearTemperatureEffects2009","container-title":"Proceedings of the National Academy of Sciences of the United States of America","DOI":"10.1073/pnas.0906865106","ISSN":"00278424","issue":"37","page":"15594-15598","title":"Nonlinear temperature effects indicate severe damages to U.S. crop yields under climate change","volume":"106","author":[{"family":"Schlenker","given":"Wolfram"},{"family":"Roberts","given":"Michael J."}],"issued":{"date-parts":[["2009"]]}}},{"id":1629,"uris":["http://www.mendeley.com/documents/?uuid=59a81fc6-3520-4289-a58b-55dd0f410397","http://zotero.org/users/12297313/items/X55UZXW4"],"itemData":{"id":1629,"type":"article-journal","citation-key":"shewYieldReductionClimate2020","container-title":"Nature Communications","DOI":"10.1038/s41467-020-18317-8","ISSN":"2041-1723","issue":"1","page":"4408","title":"Yield reduction under climate warming varies among wheat cultivars in South Africa","volume":"11","author":[{"family":"Shew","given":"Aaron M."},{"family":"Tack","given":"Jesse B."},{"family":"Nalley","given":"Lawton L."},{"family":"Chaminuka","given":"Petronella"}],"issued":{"date-parts":[["2020",12,2]]}}},{"id":1430,"uris":["http://www.mendeley.com/documents/?uuid=b8a17bac-f39a-4125-b718-a14c3a7345ba","http://zotero.org/users/12297313/items/N4EYCF7G"],"itemData":{"id":1430,"type":"article-journal","citation-key":"tackEffectWarmingTemperatures2015","container-title":"Proceedings of the National Academy of Sciences","DOI":"10.1073/pnas.1415181112","ISSN":"0027-8424","issue":"22","page":"6931-6936","title":"Effect of warming temperatures on US wheat yields","volume":"112","author":[{"family":"Tack","given":"Jesse"},{"family":"Barkley","given":"Andrew"},{"family":"Nalley","given":"Lawton Lanier"}],"issued":{"date-parts":[["2015",6,2]]}}}],"schema":"https://github.com/citation-style-language/schema/raw/master/csl-citation.json"} </w:instrText>
      </w:r>
      <w:r w:rsidR="00194A88" w:rsidRPr="00120612">
        <w:rPr>
          <w:color w:val="4472C4" w:themeColor="accent5"/>
        </w:rPr>
        <w:fldChar w:fldCharType="separate"/>
      </w:r>
      <w:r w:rsidR="000D1791" w:rsidRPr="000D1791">
        <w:t>[7], [8], [10]</w:t>
      </w:r>
      <w:r w:rsidR="00194A88" w:rsidRPr="00120612">
        <w:rPr>
          <w:color w:val="4472C4" w:themeColor="accent5"/>
        </w:rPr>
        <w:fldChar w:fldCharType="end"/>
      </w:r>
      <w:r w:rsidR="00194A88">
        <w:t xml:space="preserve">. </w:t>
      </w:r>
      <w:r w:rsidR="008917DE">
        <w:t xml:space="preserve">Regarding precipitation, the estimates in Table 2 indicate that it positively affects yields up to approximately </w:t>
      </w:r>
      <w:r w:rsidR="00AF5DBA">
        <w:t>27.451</w:t>
      </w:r>
      <w:r w:rsidR="008917DE">
        <w:t xml:space="preserve"> inches, after which the benefit declines. Given that the</w:t>
      </w:r>
      <w:r w:rsidR="00292C04">
        <w:t xml:space="preserve"> growing season</w:t>
      </w:r>
      <w:r w:rsidR="008917DE">
        <w:t xml:space="preserve"> </w:t>
      </w:r>
      <w:r w:rsidR="00DF2647">
        <w:t>means</w:t>
      </w:r>
      <w:r w:rsidR="008917DE">
        <w:t xml:space="preserve"> annual precipitation is only 19.</w:t>
      </w:r>
      <w:r w:rsidR="00292C04">
        <w:t>47</w:t>
      </w:r>
      <w:r w:rsidR="008917DE">
        <w:t xml:space="preserve"> inches, yields are unlikely to decline due to excessive annual precipitation. However, periodic destructive rainfall could still lead to yield declines, resulting from physical crop damage rather than agronomic limitations</w:t>
      </w:r>
      <w:r w:rsidR="00194A88">
        <w:t>.</w:t>
      </w:r>
    </w:p>
    <w:p w14:paraId="42D02F89" w14:textId="7D94F764" w:rsidR="008F3776" w:rsidRDefault="004452C5" w:rsidP="008F3776">
      <w:pPr>
        <w:pStyle w:val="Heading2"/>
        <w:tabs>
          <w:tab w:val="left" w:pos="1978"/>
        </w:tabs>
      </w:pPr>
      <w:r>
        <w:lastRenderedPageBreak/>
        <w:t>4.</w:t>
      </w:r>
      <w:r w:rsidR="003F7C8B">
        <w:t>2</w:t>
      </w:r>
      <w:r>
        <w:t xml:space="preserve"> </w:t>
      </w:r>
      <w:r w:rsidR="00C210F6">
        <w:t>I</w:t>
      </w:r>
      <w:r w:rsidR="00C210F6" w:rsidRPr="00FF30A7">
        <w:t xml:space="preserve">mpact of uniform warming on </w:t>
      </w:r>
      <w:r w:rsidR="00C210F6">
        <w:t xml:space="preserve">alfalfa </w:t>
      </w:r>
      <w:r w:rsidR="00C210F6">
        <w:rPr>
          <w:b w:val="0"/>
          <w:bCs/>
        </w:rPr>
        <w:t>h</w:t>
      </w:r>
      <w:r w:rsidR="00C210F6" w:rsidRPr="00625DD3">
        <w:rPr>
          <w:bCs/>
        </w:rPr>
        <w:t xml:space="preserve">ay </w:t>
      </w:r>
      <w:r w:rsidR="00C210F6">
        <w:t xml:space="preserve">yield </w:t>
      </w:r>
    </w:p>
    <w:p w14:paraId="6A4E2F08" w14:textId="27302D79" w:rsidR="00CD4E6B" w:rsidRDefault="007E56E0" w:rsidP="001B47CE">
      <w:r>
        <w:t xml:space="preserve">The dominance of beneficial (at or below 29°C) and detrimental (above 29°C) temperature exposures over one another will determine the overall impact of warming. To ascertain which of the two dominates, the study predicts yield impacts following a +1°C uniform temperature change. Figure 4 shows that relative to the current NOAA recommended baseline climate period of 1991-2020, a 1°C warming scenario produces an average </w:t>
      </w:r>
      <w:r w:rsidR="008E35E3">
        <w:t>6.576</w:t>
      </w:r>
      <w:r>
        <w:t xml:space="preserve">% decrease in alfalfa hay yields in the US. Altering the warming intensity also shows that larger declines expected at hotter scenarios with alfalfa hay yields expected to decline by </w:t>
      </w:r>
      <w:commentRangeStart w:id="4"/>
      <w:r>
        <w:t xml:space="preserve">0.621, 2.988, 4.673, 6.53, and 8.57% for a +0.5, +1.5, +2.0, +2.5, and +3.0°C </w:t>
      </w:r>
      <w:commentRangeEnd w:id="4"/>
      <w:r w:rsidR="00F4057E">
        <w:rPr>
          <w:rStyle w:val="CommentReference"/>
          <w:sz w:val="24"/>
          <w:szCs w:val="24"/>
        </w:rPr>
        <w:commentReference w:id="4"/>
      </w:r>
      <w:r>
        <w:t>uniform temperature change</w:t>
      </w:r>
      <w:r w:rsidR="00CD4E6B">
        <w:t xml:space="preserve">. </w:t>
      </w:r>
    </w:p>
    <w:p w14:paraId="1A71E33E" w14:textId="47B1BD69" w:rsidR="00D744C6" w:rsidRDefault="001E06ED" w:rsidP="00A149C2">
      <w:r>
        <w:t xml:space="preserve">Our baseline climate period of 1991 to 2020 follows NOAA recommendations, but alternative periods may be more informative </w:t>
      </w:r>
      <w:r w:rsidR="00D744C6" w:rsidRPr="00D744C6">
        <w:t>(</w:t>
      </w:r>
      <w:commentRangeStart w:id="5"/>
      <w:r w:rsidR="00D744C6" w:rsidRPr="00D744C6">
        <w:t>IPCC, 1994</w:t>
      </w:r>
      <w:commentRangeEnd w:id="5"/>
      <w:r w:rsidR="00602082" w:rsidRPr="00D744C6">
        <w:rPr>
          <w:rStyle w:val="CommentReference"/>
          <w:sz w:val="24"/>
          <w:szCs w:val="24"/>
        </w:rPr>
        <w:commentReference w:id="5"/>
      </w:r>
      <w:r w:rsidR="00D744C6" w:rsidRPr="00D744C6">
        <w:t xml:space="preserve">). </w:t>
      </w:r>
      <w:r w:rsidR="00902828">
        <w:t xml:space="preserve">Earlier periods, such as 1961 to 1990, show more significant anthropogenic trends due to sulphate aerosols, especially in the eastern USA </w:t>
      </w:r>
      <w:r w:rsidR="00D744C6" w:rsidRPr="00D744C6">
        <w:t>(</w:t>
      </w:r>
      <w:commentRangeStart w:id="6"/>
      <w:r w:rsidR="00D744C6" w:rsidRPr="00D744C6">
        <w:t>Karl et al., 1996</w:t>
      </w:r>
      <w:commentRangeEnd w:id="6"/>
      <w:r w:rsidR="00344900" w:rsidRPr="00D744C6">
        <w:rPr>
          <w:rStyle w:val="CommentReference"/>
          <w:sz w:val="24"/>
          <w:szCs w:val="24"/>
        </w:rPr>
        <w:commentReference w:id="6"/>
      </w:r>
      <w:r w:rsidR="00D744C6" w:rsidRPr="00D744C6">
        <w:t xml:space="preserve">). </w:t>
      </w:r>
      <w:r w:rsidR="008C14F4" w:rsidRPr="008C14F4">
        <w:t xml:space="preserve">Ideally, the 19th century would be the best baseline when anthropogenic impacts were minimal. Evaluating the +1°C alfalfa yield impact with different baselines reveals significant variations. The 1981-2010 period </w:t>
      </w:r>
      <w:r w:rsidR="008E35E3">
        <w:t xml:space="preserve">showed the highest </w:t>
      </w:r>
      <w:r w:rsidR="008C14F4" w:rsidRPr="008C14F4">
        <w:t>impact of -</w:t>
      </w:r>
      <w:r w:rsidR="008E35E3">
        <w:t>5.359</w:t>
      </w:r>
      <w:r w:rsidR="008C14F4" w:rsidRPr="008C14F4">
        <w:t>%, while earlier periods, such as 1961-1990 (-</w:t>
      </w:r>
      <w:r w:rsidR="008E35E3">
        <w:t>4.913</w:t>
      </w:r>
      <w:r w:rsidR="008C14F4" w:rsidRPr="008C14F4">
        <w:t xml:space="preserve">%), exhibit substantial negative impacts. The </w:t>
      </w:r>
      <w:r w:rsidR="008E35E3">
        <w:t>lowest</w:t>
      </w:r>
      <w:r w:rsidR="008C14F4" w:rsidRPr="008C14F4">
        <w:t xml:space="preserve"> impact is in 1971-2000 at -3</w:t>
      </w:r>
      <w:r w:rsidR="008E35E3">
        <w:t>.676</w:t>
      </w:r>
      <w:r w:rsidR="008C14F4" w:rsidRPr="008C14F4">
        <w:t>%. These findings highlight the importance of considering various historical periods to fully understand climatic influences on agricultural productivity</w:t>
      </w:r>
      <w:r w:rsidR="00D744C6" w:rsidRPr="00D744C6">
        <w:t>.</w:t>
      </w:r>
    </w:p>
    <w:p w14:paraId="5B28E2A9" w14:textId="5A9A4463" w:rsidR="001848D9" w:rsidRDefault="001848D9" w:rsidP="001848D9">
      <w:r>
        <w:t xml:space="preserve">Hay harvesting presents unique challenges due to its multiple cuttings throughout the year, unlike crops such as corn and soybeans, which have specific growing seasons. The period from seeding to the last cut varies widely by location, making it difficult to define a uniform growing season. Our preferred specification aggregates data only over the first seven months within each state-defined range. To evaluate the robustness of the +1°C alfalfa yield impact, we independently adjust </w:t>
      </w:r>
      <w:r>
        <w:lastRenderedPageBreak/>
        <w:t>the weather data accumulation window. Our analysis reveals that the yield impact of a +1°C temperature increase varies with the data window. A 10-month window shows -</w:t>
      </w:r>
      <w:r w:rsidR="008E35E3">
        <w:t>6.603</w:t>
      </w:r>
      <w:r>
        <w:t xml:space="preserve">%, while a </w:t>
      </w:r>
      <w:r w:rsidR="008E35E3">
        <w:t>5</w:t>
      </w:r>
      <w:r>
        <w:t>-month window, our preferred specification, yields -</w:t>
      </w:r>
      <w:r w:rsidR="008E35E3">
        <w:t>6.716</w:t>
      </w:r>
      <w:r>
        <w:t xml:space="preserve">%. </w:t>
      </w:r>
      <w:r w:rsidR="008E35E3">
        <w:t>Other</w:t>
      </w:r>
      <w:r>
        <w:t xml:space="preserve"> windows like 6 months (-</w:t>
      </w:r>
      <w:r w:rsidR="008E35E3">
        <w:t>6.727</w:t>
      </w:r>
      <w:r>
        <w:t xml:space="preserve">%) and </w:t>
      </w:r>
      <w:r w:rsidR="008E35E3">
        <w:t>7</w:t>
      </w:r>
      <w:r>
        <w:t xml:space="preserve"> months (-</w:t>
      </w:r>
      <w:r w:rsidR="008E35E3">
        <w:t>6.576</w:t>
      </w:r>
      <w:r>
        <w:t>%) show decreasing impacts.</w:t>
      </w:r>
      <w:r w:rsidR="00850F2B">
        <w:t xml:space="preserve"> </w:t>
      </w:r>
      <w:r>
        <w:t>Finally, non-alfalfa hay types show a slightly higher impact of -</w:t>
      </w:r>
      <w:r w:rsidR="008E35E3">
        <w:t>6.613</w:t>
      </w:r>
      <w:r>
        <w:t>% following a +1°C warming scenario indicating that different types of hay respond differently to warming temperatures.</w:t>
      </w:r>
    </w:p>
    <w:p w14:paraId="4A8C5253" w14:textId="59273EBF" w:rsidR="001848D9" w:rsidRDefault="001848D9" w:rsidP="001848D9">
      <w:r>
        <w:t>The predicted impacts of a +1°C climate change scenario on U.S. alfalfa hay yields vary significantly by region (See Figure 5). Counties in the Northeast generally show positive trends (1</w:t>
      </w:r>
      <w:r w:rsidR="00720004">
        <w:t>44</w:t>
      </w:r>
      <w:r>
        <w:t xml:space="preserve"> out of 244 counties), with those in Connecticut (+</w:t>
      </w:r>
      <w:r w:rsidR="00720004">
        <w:t>0.205</w:t>
      </w:r>
      <w:r>
        <w:t xml:space="preserve">%), </w:t>
      </w:r>
      <w:r w:rsidR="00720004">
        <w:t xml:space="preserve">Vermont </w:t>
      </w:r>
      <w:r>
        <w:t>(+1.</w:t>
      </w:r>
      <w:r w:rsidR="00720004">
        <w:t>319</w:t>
      </w:r>
      <w:r>
        <w:t>%), Rhode Island (+</w:t>
      </w:r>
      <w:r w:rsidR="00720004">
        <w:t>0.510</w:t>
      </w:r>
      <w:r>
        <w:t>%), Massachusetts (+</w:t>
      </w:r>
      <w:r w:rsidR="00720004">
        <w:t>0.455</w:t>
      </w:r>
      <w:r>
        <w:t>%), and Maine (+1.</w:t>
      </w:r>
      <w:r w:rsidR="00720004">
        <w:t>371</w:t>
      </w:r>
      <w:r>
        <w:t>%) experiencing the most significant increases, likely due to the cooler climate mitigating heat stress. The South, characterized by already higher temperatures, largely experiences negative impacts, with counties in Texas (-</w:t>
      </w:r>
      <w:r w:rsidR="00720004">
        <w:t>13.088</w:t>
      </w:r>
      <w:r>
        <w:t>%), Louisiana (-</w:t>
      </w:r>
      <w:r w:rsidR="00720004">
        <w:t>11.377</w:t>
      </w:r>
      <w:r>
        <w:t>%), Oklahoma (-</w:t>
      </w:r>
      <w:r w:rsidR="00720004">
        <w:t>8.682</w:t>
      </w:r>
      <w:r>
        <w:t>%), Mississippi (-</w:t>
      </w:r>
      <w:r w:rsidR="00720004">
        <w:t>9.552</w:t>
      </w:r>
      <w:r>
        <w:t>%), and Florida (-</w:t>
      </w:r>
      <w:r w:rsidR="00720004">
        <w:t>10.810</w:t>
      </w:r>
      <w:r>
        <w:t xml:space="preserve">%) observing the sharpest declines in yields, possibly exacerbated by drought conditions. The Midwest and West both present a mixed response with </w:t>
      </w:r>
      <w:r w:rsidR="00720004">
        <w:t>18</w:t>
      </w:r>
      <w:r>
        <w:t xml:space="preserve">% and </w:t>
      </w:r>
      <w:r w:rsidR="00720004">
        <w:t>40</w:t>
      </w:r>
      <w:r>
        <w:t>% Midwestern and Western counties having a positive trend, respectively. Midwestern counties in Minnesota (+</w:t>
      </w:r>
      <w:r w:rsidR="00720004">
        <w:t>0.131</w:t>
      </w:r>
      <w:r>
        <w:t>%), Wisconsin (+</w:t>
      </w:r>
      <w:r w:rsidR="00720004">
        <w:t>0.439</w:t>
      </w:r>
      <w:r>
        <w:t>%), and Michigan (+0.</w:t>
      </w:r>
      <w:r w:rsidR="00720004">
        <w:t>577</w:t>
      </w:r>
      <w:r>
        <w:t>%) see slight gains, possibly benefiting from warmer temperatures improving growing conditions, while those in Ohio (-</w:t>
      </w:r>
      <w:r w:rsidR="00720004">
        <w:t>1.231</w:t>
      </w:r>
      <w:r>
        <w:t>%), South Dakota (-</w:t>
      </w:r>
      <w:r w:rsidR="00720004">
        <w:t>1.746</w:t>
      </w:r>
      <w:r>
        <w:t>%), Iowa (-1.</w:t>
      </w:r>
      <w:r w:rsidR="00720004">
        <w:t>271</w:t>
      </w:r>
      <w:r>
        <w:t>%), Indiana (-</w:t>
      </w:r>
      <w:r w:rsidR="00720004">
        <w:t>0.167</w:t>
      </w:r>
      <w:r>
        <w:t>%), and Illinois (-2.</w:t>
      </w:r>
      <w:r w:rsidR="00720004">
        <w:t>676</w:t>
      </w:r>
      <w:r>
        <w:t>%) face notable decreases. In the West, outcomes are diverse; counties in Washington (+0.</w:t>
      </w:r>
      <w:r w:rsidR="00720004">
        <w:t>884</w:t>
      </w:r>
      <w:r>
        <w:t xml:space="preserve">%), </w:t>
      </w:r>
      <w:r w:rsidR="00720004">
        <w:t xml:space="preserve">Oregon </w:t>
      </w:r>
      <w:r>
        <w:t>(+</w:t>
      </w:r>
      <w:r w:rsidR="00720004">
        <w:t>0.640</w:t>
      </w:r>
      <w:r>
        <w:t xml:space="preserve">%), </w:t>
      </w:r>
      <w:r w:rsidR="00720004">
        <w:t xml:space="preserve">and Montana </w:t>
      </w:r>
      <w:r>
        <w:t>(+</w:t>
      </w:r>
      <w:r w:rsidR="00720004">
        <w:t>0.216</w:t>
      </w:r>
      <w:r>
        <w:t>%), see minor improvements, suggesting some areas may benefit from modest warming, whereas counties in Wyoming (-0.2</w:t>
      </w:r>
      <w:r w:rsidR="00216AE9">
        <w:t>02</w:t>
      </w:r>
      <w:r>
        <w:t>%), Idaho (-0.</w:t>
      </w:r>
      <w:r w:rsidR="00216AE9">
        <w:t>167</w:t>
      </w:r>
      <w:r>
        <w:t>%), Utah (-</w:t>
      </w:r>
      <w:r w:rsidR="00216AE9">
        <w:lastRenderedPageBreak/>
        <w:t>1</w:t>
      </w:r>
      <w:r>
        <w:t>.5</w:t>
      </w:r>
      <w:r w:rsidR="00216AE9">
        <w:t>9</w:t>
      </w:r>
      <w:r>
        <w:t>9%), Colorado (-0.</w:t>
      </w:r>
      <w:r w:rsidR="00216AE9">
        <w:t>401</w:t>
      </w:r>
      <w:r>
        <w:t>%), and California (-</w:t>
      </w:r>
      <w:r w:rsidR="00216AE9">
        <w:t>4.598</w:t>
      </w:r>
      <w:r>
        <w:t>%), located in arid regions, encounter declines.</w:t>
      </w:r>
    </w:p>
    <w:p w14:paraId="17E08545" w14:textId="33B90489" w:rsidR="00E02E59" w:rsidRDefault="001848D9" w:rsidP="001848D9">
      <w:r>
        <w:t xml:space="preserve">Figure 5 also illustrates the geographical changes in alfalfa yields with temperature increases across various regions. The impact on yields varies significantly with increasing temperature gradients. For example, with only a 0.5°C increase, counties in states like Connecticut, Maine, and Massachusetts experience an increase in yields, while counties in southern states such as Alabama, Arizona, and Florida see a notable decrease, with Florida experiencing a yield drop of 2.77%. As the temperature increase reaches 1.5°C, counties in Arizona and Florida show dramatic decreases in yields </w:t>
      </w:r>
      <w:r w:rsidR="00DF2647">
        <w:t>of</w:t>
      </w:r>
      <w:r>
        <w:t xml:space="preserve"> 10.57% and 9.65%, respectively. The negative impact intensifies at a 3°C increase, particularly affecting states like Florida and Texas with county yield reductions averaging 22.55% and 25.49%, respectively. Interestingly, northern states such as Connecticut, Maine, and Massachusetts continue to see yield increases or less severe decreases up to a 2°C temperature increase, after which the impact becomes neutral or negative. By contrast, southern and central states experience accelerating declines as temperatures rise, with Missouri and Kansas notably impacted by 15.83% and 12.57% decreases at a 3°C increase, coinciding with these states being major cattle-producing areas. These estimates are indicative of broader regional vulnerabilities of livestock production as the temperature continues to rise</w:t>
      </w:r>
      <w:r w:rsidR="001620ED">
        <w:t>.</w:t>
      </w:r>
    </w:p>
    <w:p w14:paraId="2DB3AB56" w14:textId="38343F10" w:rsidR="00A1269F" w:rsidRPr="00DF2647" w:rsidRDefault="00222CF7" w:rsidP="00E408A0">
      <w:pPr>
        <w:pStyle w:val="Heading1"/>
      </w:pPr>
      <w:r w:rsidRPr="00DF2647">
        <w:t xml:space="preserve">5. </w:t>
      </w:r>
      <w:r w:rsidR="00725994" w:rsidRPr="00DF2647">
        <w:t>Discussion</w:t>
      </w:r>
    </w:p>
    <w:p w14:paraId="7EDC30AC" w14:textId="77777777" w:rsidR="00725994" w:rsidRDefault="00725994" w:rsidP="00725994">
      <w:r w:rsidRPr="00762DED">
        <w:t xml:space="preserve">The correlation between alfalfa production and livestock density, particularly in cattle farming, reveals a strategic alignment within the agricultural landscape that emphasizes the importance of forage management. With a significant correlation of 0.53 between county-level cattle inventory and alfalfa production, regions with abundant alfalfa tend to have higher cattle production. However, the correlation of 0.32 with alfalfa yield suggests that while the presence of alfalfa is </w:t>
      </w:r>
      <w:r w:rsidRPr="00762DED">
        <w:lastRenderedPageBreak/>
        <w:t xml:space="preserve">essential, the highest yields are not necessarily required for successful cattle operations. This indicates that cattle farming is optimized more for the availability of sufficient forage rather than achieving maximum yield per acre. Moreover, the strategic alignment of alfalfa production with local economic and climatic conditions is becoming increasingly crucial as global warming introduces new challenges. Shifts in weather patterns could alter precipitation levels and increase temperatures, potentially disrupting alfalfa </w:t>
      </w:r>
      <w:r>
        <w:t>availability</w:t>
      </w:r>
      <w:r w:rsidRPr="00762DED">
        <w:t xml:space="preserve"> and directly impacting the livestock sector reliant on this crop for feed. Consequently, a decline in alfalfa </w:t>
      </w:r>
      <w:r>
        <w:t>availability</w:t>
      </w:r>
      <w:r w:rsidRPr="00762DED">
        <w:t xml:space="preserve"> could escalate feed costs or necessitate reductions in herd sizes, significantly affecting the agricultural economy. This underscores the critical need for adaptive forage </w:t>
      </w:r>
      <w:r>
        <w:t xml:space="preserve">production and </w:t>
      </w:r>
      <w:r w:rsidRPr="00762DED">
        <w:t>management strategies to maintain robust cattle farming operations in the face of climatic changes.</w:t>
      </w:r>
    </w:p>
    <w:p w14:paraId="5691AC7D" w14:textId="7DDDC42A" w:rsidR="005B571B" w:rsidRDefault="001376DB" w:rsidP="00E408A0">
      <w:r>
        <w:t xml:space="preserve">The vulnerability that </w:t>
      </w:r>
      <w:r w:rsidR="009A7B01">
        <w:t>this pose</w:t>
      </w:r>
      <w:r>
        <w:t xml:space="preserve"> is best illustrated by the 2012 </w:t>
      </w:r>
      <w:r w:rsidR="00A10C96">
        <w:t>drought</w:t>
      </w:r>
      <w:r>
        <w:t>, which led to degradation of over 70% of pastureland in the U.S.</w:t>
      </w:r>
      <w:r w:rsidR="00A10C96">
        <w:t>,</w:t>
      </w:r>
      <w:r>
        <w:t xml:space="preserve"> along with</w:t>
      </w:r>
      <w:r w:rsidR="00A10C96">
        <w:t xml:space="preserve"> lowered</w:t>
      </w:r>
      <w:r>
        <w:t xml:space="preserve"> returns of</w:t>
      </w:r>
      <w:r w:rsidR="00A10C96">
        <w:t xml:space="preserve"> cow-calf by over $100 a cow </w:t>
      </w:r>
      <w:r w:rsidR="00CF4459">
        <w:t>(Kemper et al, 2013)</w:t>
      </w:r>
      <w:r w:rsidR="00A10C96">
        <w:t>. While this is a very severe example, it is a mere single-season disruption that foreshadows what the warming scenarios that were modeled could mean on a permanent and progressive scale. Unlike the drought</w:t>
      </w:r>
      <w:r w:rsidR="00555BCC">
        <w:t>,</w:t>
      </w:r>
      <w:r w:rsidR="00A10C96">
        <w:t xml:space="preserve"> where rainfall led to recovery, these yield declines reflect an environmental shift in overall growing conditions. Counties in Texas, Louisiana, Oklahoma, Florida, Missouri, and Kansas are all facing very large losses in </w:t>
      </w:r>
      <w:r w:rsidR="009A7B01">
        <w:t>primary</w:t>
      </w:r>
      <w:r w:rsidR="00A10C96">
        <w:t xml:space="preserve"> feed, despite being some of the states with the largest cattle density in the country. This regional concentration of forage loss is especially impactful when considering that </w:t>
      </w:r>
      <w:r w:rsidR="00CF4459">
        <w:fldChar w:fldCharType="begin"/>
      </w:r>
      <w:r w:rsidR="000D1791">
        <w:instrText xml:space="preserve"> ADDIN ZOTERO_ITEM CSL_CITATION {"citationID":"8ooRqgx4","properties":{"formattedCitation":"[29]","plainCitation":"[29]","noteIndex":0},"citationItems":[{"id":"h6RDF2am/3pVtR5mP","uris":["http://zotero.org/users/17422379/items/5M48XCMK"],"itemData":{"id":168,"type":"article-journal","abstract":"Economic losses are incurred by the US livestock industries because farm animals are raised in locations and seasons where effective temperature conditions venture outside their zone of thermal comfort. The objective of this review was to estimate economic losses sustained by major US livestock industries from heat stress. Animal classes considered were: dairy cows, dairy heifers (0 to 1 yr and 1 to 2 yr), beef cows, finishing cattle, sows, market hogs, broilers, layers, and turkeys. Economic losses considered were: 1) decreased performance (feed intake, growth, milk, eggs), 2) increased mortality, and 3) decreased reproduction. USDA and industry data were used for monthly inventories of each animal class in each of the contiguous 48 states. Daily weather data from 257 weather stations over a range of 68 to 129 yr were used to estimate mean monthly maximum and minimum temperatures, relative humidity, and their variances and covariances for each state. Animal responses were modeled from literature data using a combination of maximum temperature-humidity index, daily duration of heat stress, and a heat load index. Monte Carlo techniques were used to simulate 1000 times the weather for each month of the year, for each animal class, for each state, and for each of four intensities of heat abatement (minimum, moderate, high, and intensive). Capital and operating costs were accounted for each heat abatement intensity. Without heat abatement (minimum intensity), total losses across animal classes averaged $2.4 billion annually. Optimum heat abatement intensity reduced annual total losses to $1.7 billion. Annual losses averaged $897million, $369million, $299million, and $128million for dairy, beef, swine, and poultry industries, respectively. Across states, Texas, California, Oklahoma, Nebraska, and North Carolina accounted for $728million of annual losses, or 43% of total national losses. Results point to a need for more energy and capital efficient heat abatement systems.","collection-title":"Electronic Supplement","container-title":"Journal of Dairy Science","DOI":"10.3168/jds.S0022-0302(03)74040-5","ISSN":"0022-0302","journalAbbreviation":"Journal of Dairy Science","page":"E52-E77","source":"ScienceDirect","title":"Economic Losses from Heat Stress by US Livestock Industries1","volume":"86","author":[{"family":"St-Pierre","given":"N. R."},{"family":"Cobanov","given":"B."},{"family":"Schnitkey","given":"G."}],"issued":{"date-parts":[["2003",6,1]]}}}],"schema":"https://github.com/citation-style-language/schema/raw/master/csl-citation.json"} </w:instrText>
      </w:r>
      <w:r w:rsidR="00CF4459">
        <w:fldChar w:fldCharType="separate"/>
      </w:r>
      <w:r w:rsidR="000D1791" w:rsidRPr="000D1791">
        <w:t>[29]</w:t>
      </w:r>
      <w:r w:rsidR="00CF4459">
        <w:fldChar w:fldCharType="end"/>
      </w:r>
      <w:r w:rsidR="00555BCC">
        <w:t xml:space="preserve">estimated that annual heat stress losses already exceed $2 billion dollars in the U.S for production costs. Implications of this are </w:t>
      </w:r>
      <w:r w:rsidR="009A7B01">
        <w:t>those producers</w:t>
      </w:r>
      <w:r w:rsidR="00555BCC">
        <w:t xml:space="preserve"> at risk for major forage yield decline, such as in the South and Plains, are also facing pressure from heat stress impacting livestock alongside the availability of a primary feed source declining. Inversely, northeastern counties within Connecticut, Maine, and Massachusetts </w:t>
      </w:r>
      <w:r w:rsidR="009A7B01">
        <w:lastRenderedPageBreak/>
        <w:t>experience</w:t>
      </w:r>
      <w:r w:rsidR="00555BCC">
        <w:t xml:space="preserve"> alfalfa yield gains under warming while having relatively lower </w:t>
      </w:r>
      <w:r w:rsidR="005C04E8">
        <w:t>densities</w:t>
      </w:r>
      <w:r w:rsidR="00555BCC">
        <w:t xml:space="preserve"> of cattle. The geographic distribution of alfalfa under warming is not aligned with livestock prevalence, which will lead producers to pay the higher shipping costs to get the alfalfa needed or incur the cost of transitioning to new feed sources. </w:t>
      </w:r>
    </w:p>
    <w:p w14:paraId="1FDFEC40" w14:textId="5FC11B68" w:rsidR="00FE3391" w:rsidRDefault="00340C8D" w:rsidP="00E408A0">
      <w:r w:rsidRPr="00340C8D">
        <w:t xml:space="preserve">Within the Ricardian framework, farmers respond to relative profitability shifts by reallocating land toward crops that best suit prevailing climate conditions. Under the warming scenarios presented, there is potential for significant disruption to alfalfa production even at the mildest simulation. </w:t>
      </w:r>
      <w:commentRangeStart w:id="7"/>
      <w:r w:rsidRPr="00340C8D">
        <w:t>As shown in Figure 5, a +1°C increase alone produces yield declines of 13.088% and 10.810% in Texas and Florida, respectively</w:t>
      </w:r>
      <w:r>
        <w:t xml:space="preserve">. </w:t>
      </w:r>
      <w:commentRangeEnd w:id="7"/>
      <w:r w:rsidR="008E35E3">
        <w:rPr>
          <w:rStyle w:val="CommentReference"/>
          <w:sz w:val="24"/>
          <w:szCs w:val="24"/>
        </w:rPr>
        <w:commentReference w:id="7"/>
      </w:r>
      <w:r>
        <w:t>With this decrease in yield possible,</w:t>
      </w:r>
      <w:r w:rsidRPr="00340C8D">
        <w:t xml:space="preserve"> profitability shocks of sufficient magnitude </w:t>
      </w:r>
      <w:r>
        <w:t>then push</w:t>
      </w:r>
      <w:r w:rsidRPr="00340C8D">
        <w:t xml:space="preserve"> producers toward land reallocation away from alfalfa. As warming intensifies and </w:t>
      </w:r>
      <w:r w:rsidR="009A7B01" w:rsidRPr="00340C8D">
        <w:t>most</w:t>
      </w:r>
      <w:r w:rsidRPr="00340C8D">
        <w:t xml:space="preserve"> U.S. counties face declining alfalfa yields, the competitive advantage of alternative forage species grows accordingly. Alfalfa is a C3 cool-season crop, and C4 warm-season grasses are increasingly better suited to southern growing conditions under rising temperatures, a transition consistent with the broader forage literature. Crop switching in this context is not a failure of adaptation</w:t>
      </w:r>
      <w:r>
        <w:t>,</w:t>
      </w:r>
      <w:r w:rsidRPr="00340C8D">
        <w:t xml:space="preserve"> </w:t>
      </w:r>
      <w:r>
        <w:t>and</w:t>
      </w:r>
      <w:r w:rsidRPr="00340C8D">
        <w:t xml:space="preserve"> it is the expected Ricardian response to a permanent shift in returns.</w:t>
      </w:r>
    </w:p>
    <w:p w14:paraId="105684D9" w14:textId="7EBDE678" w:rsidR="00725994" w:rsidRDefault="00720523" w:rsidP="003F3F71">
      <w:r>
        <w:t xml:space="preserve">However, crop switching is not a seamless transition. Transitioning from the annual forage of alfalfa to perennial forage takes several years of time and investment for proper establishment, as well as changes in irrigation infrastructure, and agronomic knowledge gaps are often under assumed. Particularly in the South, realistic </w:t>
      </w:r>
      <w:r w:rsidR="00AE2894">
        <w:t>substitutes</w:t>
      </w:r>
      <w:r>
        <w:t xml:space="preserve"> that are already prevalent include bermudagrass hay and sorghum-</w:t>
      </w:r>
      <w:r w:rsidR="009A7B01">
        <w:t>Sudan</w:t>
      </w:r>
      <w:r>
        <w:t xml:space="preserve"> hybrids, as they are better suited than alfalfa </w:t>
      </w:r>
      <w:r w:rsidR="00AE2894">
        <w:t>to</w:t>
      </w:r>
      <w:r>
        <w:t xml:space="preserve"> higher temperatures. A major negative to this switch is the loss of protein in feed, as alfalfa has a crude protein of approximately 15-20% compared to gross hay</w:t>
      </w:r>
      <w:r w:rsidR="00AE2894">
        <w:t>,</w:t>
      </w:r>
      <w:r>
        <w:t xml:space="preserve"> typically ranging from 8-12%. This has </w:t>
      </w:r>
      <w:r>
        <w:lastRenderedPageBreak/>
        <w:t xml:space="preserve">major </w:t>
      </w:r>
      <w:r w:rsidR="00AE2894">
        <w:t>implications for</w:t>
      </w:r>
      <w:r>
        <w:t xml:space="preserve"> livestock performance</w:t>
      </w:r>
      <w:r w:rsidR="00AE2894">
        <w:t xml:space="preserve"> and the cost of supplemental feed and rationing. In the Midwest, corn silage is the most sensible substitute;</w:t>
      </w:r>
      <w:r w:rsidR="001376DB">
        <w:t xml:space="preserve"> </w:t>
      </w:r>
      <w:r w:rsidR="00AE2894">
        <w:t xml:space="preserve">however, an increased demand </w:t>
      </w:r>
      <w:r w:rsidR="00A30DDF">
        <w:t>for</w:t>
      </w:r>
      <w:r w:rsidR="00AE2894">
        <w:t xml:space="preserve"> corn silage acreage would </w:t>
      </w:r>
      <w:r w:rsidR="001376DB">
        <w:t>directly</w:t>
      </w:r>
      <w:r w:rsidR="00AE2894">
        <w:t xml:space="preserve"> compete with </w:t>
      </w:r>
      <w:r w:rsidR="001376DB">
        <w:t>grain</w:t>
      </w:r>
      <w:r w:rsidR="00AE2894">
        <w:t xml:space="preserve"> corn production that is </w:t>
      </w:r>
      <w:r w:rsidR="001376DB">
        <w:t>predominant</w:t>
      </w:r>
      <w:r w:rsidR="00AE2894">
        <w:t xml:space="preserve"> in the region. This would transmit the alfalfa yield shock under these conditions into the </w:t>
      </w:r>
      <w:r w:rsidR="001376DB">
        <w:t>broader</w:t>
      </w:r>
      <w:r w:rsidR="00AE2894">
        <w:t xml:space="preserve"> </w:t>
      </w:r>
      <w:r w:rsidR="009A7B01">
        <w:t>feed grain</w:t>
      </w:r>
      <w:r w:rsidR="00AE2894">
        <w:t xml:space="preserve"> market, </w:t>
      </w:r>
      <w:r w:rsidR="009A7B01">
        <w:t>an</w:t>
      </w:r>
      <w:r w:rsidR="00AE2894">
        <w:t xml:space="preserve"> intersection documents by </w:t>
      </w:r>
      <w:r w:rsidR="00CF4459">
        <w:fldChar w:fldCharType="begin"/>
      </w:r>
      <w:r w:rsidR="000D1791">
        <w:instrText xml:space="preserve"> ADDIN ZOTERO_ITEM CSL_CITATION {"citationID":"dMDhSc8M","properties":{"formattedCitation":"[15], [16]","plainCitation":"[15], [16]","noteIndex":0},"citationItems":[{"id":1438,"uris":["http://www.mendeley.com/documents/?uuid=99b8232f-f738-4a95-bae3-2cd21491aa2f","http://zotero.org/users/12297313/items/FKX2NCWQ"],"itemData":{"id":1438,"type":"article-journal","citation-key":"simmonsPerformanceLivestockFeedGrainSector1966","container-title":"Journal of Farm Economics","DOI":"10.2307/1237161","ISSN":"10711031","issue":"5","page":"1455","title":"Performance of the Livestock-Feed-Grain Sector","volume":"48","author":[{"family":"Simmons","given":"Will M."},{"family":"Rizek","given":"Robert L."}],"issued":{"date-parts":[["1966",12]]}}},{"id":1437,"uris":["http://www.mendeley.com/documents/?uuid=c2fb5aeb-732d-47f7-8cb8-6cc49eb41a34","http://zotero.org/users/12297313/items/PUKFJ3EU"],"itemData":{"id":1437,"type":"article-journal","abstract":"A systems econometric model of the livestock (beef and pork), poultry (broiler), and corn sectors was estimated to evaluate cross-sector relationships. The equilibrium multipliers and comparative statics indicate unequal cross-effects of market disturbances, e.g., shocks in the livestock and poultry markets impact corn demand and supply more than shocks in the corn market impact livestock and poultry demands and supplies. Recent 2003 mad cow disease (BSE) problems in Canada and the United States display nontrivial cross-effects. For example, the BSE occurrences reduce real corn revenue in the United States by $0.62 billion, or 5.0% of its 2003 revenue. Copyright 2007 Western Agricultural Economics Association.","citation-key":"marshCrosssectorRelationshipsCorn2007","container-title":"Journal of Agricultural and Resource Economics","issue":"1","page":"93-114","title":"Cross-sector relationships between the corn feed grains and livestock and poultry economies","volume":"32","author":[{"family":"Marsh","given":"John M."}],"issued":{"date-parts":[["2007"]]}}}],"schema":"https://github.com/citation-style-language/schema/raw/master/csl-citation.json"} </w:instrText>
      </w:r>
      <w:r w:rsidR="00CF4459">
        <w:fldChar w:fldCharType="separate"/>
      </w:r>
      <w:r w:rsidR="000D1791" w:rsidRPr="000D1791">
        <w:t>[15], [16]</w:t>
      </w:r>
      <w:r w:rsidR="00CF4459">
        <w:fldChar w:fldCharType="end"/>
      </w:r>
      <w:r w:rsidR="00AE2894">
        <w:t xml:space="preserve">. Of interesting significance in the behavior of the area in the transition zone. These counties within Kansas, Missouri, and other southern Plains states are where C3 and C4 species coexist, </w:t>
      </w:r>
      <w:r w:rsidR="001376DB">
        <w:t>and their forage balance is at risk as warming causes this region to move further north.</w:t>
      </w:r>
      <w:r w:rsidR="00AE2894">
        <w:t xml:space="preserve"> </w:t>
      </w:r>
      <w:r w:rsidR="001376DB">
        <w:t xml:space="preserve">Producers in this historically reliable cool-season </w:t>
      </w:r>
      <w:r w:rsidR="003F3F71">
        <w:t>Alfalfa</w:t>
      </w:r>
      <w:r w:rsidR="001376DB">
        <w:t xml:space="preserve"> region begin to lose their ability to rely on local production of alfalfa, with Kansas and Missouri facing over a 6% and 4% decrease in respective yield under only the </w:t>
      </w:r>
      <w:r w:rsidR="001376DB" w:rsidRPr="00340C8D">
        <w:t>+1°C increase</w:t>
      </w:r>
      <w:r w:rsidR="001376DB">
        <w:t>.</w:t>
      </w:r>
      <w:r w:rsidR="00F963B5">
        <w:t xml:space="preserve"> The regional heterogeneity of yields impacts shows there is not a uniform solution to climate-driven distribution in alfalfa production, as the compounding pressures presented demand regionally targeted strategies and action from producers and policymakers. </w:t>
      </w:r>
      <w:r w:rsidR="00725994">
        <w:t xml:space="preserve">6. </w:t>
      </w:r>
      <w:r w:rsidR="00725994" w:rsidRPr="00C47481">
        <w:t>Conclusion</w:t>
      </w:r>
    </w:p>
    <w:p w14:paraId="6E15CCCA" w14:textId="4E308DD6" w:rsidR="00725994" w:rsidRDefault="00AA50A4" w:rsidP="00E408A0">
      <w:r>
        <w:t xml:space="preserve">The study addresses two questions: whether warming temperatures have a measurable effect on U.S. alfalfa hay yields, and whether projected warming will shift the geographic distribution of alfalfa production. This was completed using a county-level panel of the contiguous U.S. using data from 1951-2022 </w:t>
      </w:r>
      <w:r w:rsidR="00A30DDF">
        <w:t>through</w:t>
      </w:r>
      <w:r>
        <w:t xml:space="preserve"> a piecewise degree-day framework. It was found </w:t>
      </w:r>
      <w:r w:rsidR="003F3F71">
        <w:t>with</w:t>
      </w:r>
      <w:r>
        <w:t xml:space="preserve"> the data in the study that </w:t>
      </w:r>
      <w:r w:rsidR="008E46B9">
        <w:t>temperatures</w:t>
      </w:r>
      <w:r>
        <w:t xml:space="preserve"> between 14</w:t>
      </w:r>
      <w:r w:rsidR="00A30DDF" w:rsidRPr="00340C8D">
        <w:t>°C</w:t>
      </w:r>
      <w:r>
        <w:t xml:space="preserve"> and 29</w:t>
      </w:r>
      <w:r w:rsidR="00A30DDF" w:rsidRPr="00340C8D">
        <w:t>°C</w:t>
      </w:r>
      <w:r>
        <w:t xml:space="preserve"> modestly improve yields, and temperatures above 29</w:t>
      </w:r>
      <w:r w:rsidR="00A30DDF" w:rsidRPr="00340C8D">
        <w:t>°C</w:t>
      </w:r>
      <w:r>
        <w:t xml:space="preserve"> </w:t>
      </w:r>
      <w:r w:rsidR="003F3F71">
        <w:t>led</w:t>
      </w:r>
      <w:r>
        <w:t xml:space="preserve"> to decreasing yields at an increasing rate. Nationally, alfalfa yields decline by </w:t>
      </w:r>
      <w:commentRangeStart w:id="8"/>
      <w:r>
        <w:t>XXX% under +0.5</w:t>
      </w:r>
      <w:r w:rsidR="00A30DDF" w:rsidRPr="00340C8D">
        <w:t>°C</w:t>
      </w:r>
      <w:r>
        <w:t xml:space="preserve"> and rise to XXX% </w:t>
      </w:r>
      <w:commentRangeEnd w:id="8"/>
      <w:r>
        <w:rPr>
          <w:rStyle w:val="CommentReference"/>
          <w:sz w:val="24"/>
          <w:szCs w:val="24"/>
        </w:rPr>
        <w:commentReference w:id="8"/>
      </w:r>
      <w:r>
        <w:t>under 3</w:t>
      </w:r>
      <w:r w:rsidR="00A30DDF" w:rsidRPr="00340C8D">
        <w:t>°C</w:t>
      </w:r>
      <w:r>
        <w:t xml:space="preserve">. Results are found to be robust across different baseline climate periods and growing season window lengths. </w:t>
      </w:r>
    </w:p>
    <w:p w14:paraId="66110078" w14:textId="415D07EF" w:rsidR="00C86336" w:rsidRDefault="00C86336" w:rsidP="00E408A0">
      <w:r w:rsidRPr="00C86336">
        <w:t xml:space="preserve">A considerable variation of impact was found geographically, as northern counties </w:t>
      </w:r>
      <w:r w:rsidR="003F3F71" w:rsidRPr="00C86336">
        <w:t>experience</w:t>
      </w:r>
      <w:r w:rsidRPr="00C86336">
        <w:t xml:space="preserve"> modest yield gains under warming, whereas the South and Central Plains, where cattle production </w:t>
      </w:r>
      <w:r w:rsidRPr="00C86336">
        <w:lastRenderedPageBreak/>
        <w:t xml:space="preserve">is most predominant, experience some of the largest losses. </w:t>
      </w:r>
      <w:commentRangeStart w:id="9"/>
      <w:r w:rsidRPr="00C86336">
        <w:t>States such as Texas, Florida, Oklahoma, and Kansas experience respective losses of 13.088%, 10.810%, 8.682%, and 6.011% at just a 1°C increase in temperature,</w:t>
      </w:r>
      <w:commentRangeEnd w:id="9"/>
      <w:r w:rsidR="008E35E3" w:rsidRPr="00C86336">
        <w:rPr>
          <w:rStyle w:val="CommentReference"/>
          <w:sz w:val="24"/>
          <w:szCs w:val="24"/>
        </w:rPr>
        <w:commentReference w:id="9"/>
      </w:r>
      <w:r w:rsidRPr="00C86336">
        <w:t xml:space="preserve"> with those losses intensifying substantially under higher warming scenarios. The counties experiencing yield gains under warming scenarios hold comparatively little cattle operation significance, meaning the net effect is not only a northward shift in alfalfa production, but a structural movement away from the livestock-dense regions most dependent on domestic high-protein forage. Along with this, if producers in affected regions lose access to a feed source they previously produced locally, shipping feed in becomes a significant logistical and financial burden, directly impacting their bottom line in an industry where margins are already thin.</w:t>
      </w:r>
      <w:r>
        <w:t xml:space="preserve"> </w:t>
      </w:r>
      <w:r w:rsidR="003F3F71">
        <w:t>Crops</w:t>
      </w:r>
      <w:r>
        <w:t xml:space="preserve"> switching towards warm-season grasses is the expected Ricardian response, particularly in the south, but the protein and other nutritional differences in substitutions and establishment constraints could limit the extent to which market reallocation could offset the potential production losses. This remains especially true for the West, as irrigation constraints with warming temperatures could lead to unavoidable losses in </w:t>
      </w:r>
      <w:r w:rsidR="003F3F71">
        <w:t>industry</w:t>
      </w:r>
      <w:r>
        <w:t xml:space="preserve">. This analysis treats several variables as fixed that could lead to </w:t>
      </w:r>
      <w:r w:rsidR="001B13A4">
        <w:t xml:space="preserve">an </w:t>
      </w:r>
      <w:r>
        <w:t xml:space="preserve">underestimation of long-run adaptation, such as land use, irrigation technology, and management practices. The simulations performed assume uniform temperature increase nationwide, with no account for changes in other factors that could modify estimated impacts in either direction. </w:t>
      </w:r>
      <w:r w:rsidR="001B13A4">
        <w:t xml:space="preserve">Future work should incorporate water availability and irrigation constraints into the simulation framework, </w:t>
      </w:r>
      <w:r w:rsidR="003F3F71">
        <w:t>to</w:t>
      </w:r>
      <w:r w:rsidR="001B13A4">
        <w:t xml:space="preserve"> best capture the impact of thermal and hydrological stress. As global temperatures continue to rise, along with the estimates from the RCP, the county-level yield </w:t>
      </w:r>
      <w:r w:rsidR="003F3F71">
        <w:t>estimated,</w:t>
      </w:r>
      <w:r w:rsidR="001B13A4">
        <w:t xml:space="preserve"> and spatial warming </w:t>
      </w:r>
      <w:r w:rsidR="008E46B9">
        <w:t>simulations</w:t>
      </w:r>
      <w:r w:rsidR="001B13A4">
        <w:t xml:space="preserve"> offer both a diagnostic of current vulnerabilities and a tangible foundation for regional adaptation policy in the forage and livestock sectors across the country.</w:t>
      </w:r>
    </w:p>
    <w:p w14:paraId="7CC163D3" w14:textId="0CBD7AE1" w:rsidR="00A1269F" w:rsidRPr="00C47481" w:rsidRDefault="009B35F1" w:rsidP="00E408A0">
      <w:pPr>
        <w:pStyle w:val="Heading1"/>
      </w:pPr>
      <w:r w:rsidRPr="00C47481">
        <w:lastRenderedPageBreak/>
        <w:t>Re</w:t>
      </w:r>
      <w:r w:rsidR="00A1269F" w:rsidRPr="00C47481">
        <w:t xml:space="preserve">ferences </w:t>
      </w:r>
    </w:p>
    <w:p w14:paraId="5B4A8FD6" w14:textId="77777777" w:rsidR="000D1791" w:rsidRPr="000D1791" w:rsidRDefault="00A1269F" w:rsidP="000D1791">
      <w:pPr>
        <w:pStyle w:val="Bibliography"/>
      </w:pPr>
      <w:r w:rsidRPr="00C47481">
        <w:fldChar w:fldCharType="begin" w:fldLock="1"/>
      </w:r>
      <w:r w:rsidR="000D1791">
        <w:instrText xml:space="preserve"> ADDIN ZOTERO_BIBL {"uncited":[],"omitted":[],"custom":[]} CSL_BIBLIOGRAPHY </w:instrText>
      </w:r>
      <w:r w:rsidRPr="00C47481">
        <w:fldChar w:fldCharType="separate"/>
      </w:r>
      <w:r w:rsidR="000D1791" w:rsidRPr="000D1791">
        <w:t>[1]</w:t>
      </w:r>
      <w:r w:rsidR="000D1791" w:rsidRPr="000D1791">
        <w:tab/>
        <w:t xml:space="preserve">Intergovernmental Panel on Climate Change (IPCC), </w:t>
      </w:r>
      <w:r w:rsidR="000D1791" w:rsidRPr="000D1791">
        <w:rPr>
          <w:i/>
          <w:iCs/>
        </w:rPr>
        <w:t>Climate Change 2007: Impacts, Adaptation and Vulnerability. Contribution of Working Group II to the Fourth Assessment Report of the Intergovernmental Panel on Climate Change</w:t>
      </w:r>
      <w:r w:rsidR="000D1791" w:rsidRPr="000D1791">
        <w:t>. Cambridge: Cambridge University Press, 2007. Accessed: Dec. 01, 2020. [Online]. Available: http://www.cambridge.org/9780521880107</w:t>
      </w:r>
    </w:p>
    <w:p w14:paraId="567CFCC7" w14:textId="77777777" w:rsidR="000D1791" w:rsidRPr="000D1791" w:rsidRDefault="000D1791" w:rsidP="000D1791">
      <w:pPr>
        <w:pStyle w:val="Bibliography"/>
      </w:pPr>
      <w:r w:rsidRPr="000D1791">
        <w:t>[2]</w:t>
      </w:r>
      <w:r w:rsidRPr="000D1791">
        <w:tab/>
        <w:t xml:space="preserve">Intergovernmental Panel on Climate Change (IPCC), </w:t>
      </w:r>
      <w:r w:rsidRPr="000D1791">
        <w:rPr>
          <w:i/>
          <w:iCs/>
        </w:rPr>
        <w:t>Climate Change 2013 the Physical Science Basis: Working Group I Contribution to the Fifth Assessment Report of the Intergovernmental Panel on Climate Change</w:t>
      </w:r>
      <w:r w:rsidRPr="000D1791">
        <w:t>. Cambridge: Cambridge University Press, 2013. doi: 10.1017/CBO9781107415324.</w:t>
      </w:r>
    </w:p>
    <w:p w14:paraId="13FA37AF" w14:textId="77777777" w:rsidR="000D1791" w:rsidRPr="000D1791" w:rsidRDefault="000D1791" w:rsidP="000D1791">
      <w:pPr>
        <w:pStyle w:val="Bibliography"/>
      </w:pPr>
      <w:r w:rsidRPr="000D1791">
        <w:t>[3]</w:t>
      </w:r>
      <w:r w:rsidRPr="000D1791">
        <w:tab/>
        <w:t xml:space="preserve">D. B. Lobell, W. Schlenker, and J. Costa-Roberts, “Climate Trends and Global Crop Production Since 1980,” </w:t>
      </w:r>
      <w:r w:rsidRPr="000D1791">
        <w:rPr>
          <w:i/>
          <w:iCs/>
        </w:rPr>
        <w:t>Science</w:t>
      </w:r>
      <w:r w:rsidRPr="000D1791">
        <w:t>, vol. 333, no. 6042, pp. 616–620, Jul. 2011, doi: 10.1126/science.1204531.</w:t>
      </w:r>
    </w:p>
    <w:p w14:paraId="013702CE" w14:textId="77777777" w:rsidR="000D1791" w:rsidRPr="000D1791" w:rsidRDefault="000D1791" w:rsidP="000D1791">
      <w:pPr>
        <w:pStyle w:val="Bibliography"/>
      </w:pPr>
      <w:r w:rsidRPr="000D1791">
        <w:t>[4]</w:t>
      </w:r>
      <w:r w:rsidRPr="000D1791">
        <w:tab/>
        <w:t xml:space="preserve">X. Yuan </w:t>
      </w:r>
      <w:r w:rsidRPr="000D1791">
        <w:rPr>
          <w:i/>
          <w:iCs/>
        </w:rPr>
        <w:t>et al.</w:t>
      </w:r>
      <w:r w:rsidRPr="000D1791">
        <w:t xml:space="preserve">, “Impacts of Global Climate Change on Agricultural Production: A Comprehensive Review,” </w:t>
      </w:r>
      <w:r w:rsidRPr="000D1791">
        <w:rPr>
          <w:i/>
          <w:iCs/>
        </w:rPr>
        <w:t>Agronomy</w:t>
      </w:r>
      <w:r w:rsidRPr="000D1791">
        <w:t>, vol. 14, no. 7, p. 1360, Jul. 2024, doi: 10.3390/agronomy14071360.</w:t>
      </w:r>
    </w:p>
    <w:p w14:paraId="36733E3A" w14:textId="77777777" w:rsidR="000D1791" w:rsidRPr="000D1791" w:rsidRDefault="000D1791" w:rsidP="000D1791">
      <w:pPr>
        <w:pStyle w:val="Bibliography"/>
      </w:pPr>
      <w:r w:rsidRPr="000D1791">
        <w:t>[5]</w:t>
      </w:r>
      <w:r w:rsidRPr="000D1791">
        <w:tab/>
        <w:t xml:space="preserve">C. Lesk, P. Rowhani, and N. Ramankutty, “Influence of extreme weather disasters on global crop production,” </w:t>
      </w:r>
      <w:r w:rsidRPr="000D1791">
        <w:rPr>
          <w:i/>
          <w:iCs/>
        </w:rPr>
        <w:t>Nature</w:t>
      </w:r>
      <w:r w:rsidRPr="000D1791">
        <w:t>, vol. 529, no. 7584, pp. 84–87, Jan. 2016, doi: 10.1038/nature16467.</w:t>
      </w:r>
    </w:p>
    <w:p w14:paraId="7E27030C" w14:textId="77777777" w:rsidR="000D1791" w:rsidRPr="000D1791" w:rsidRDefault="000D1791" w:rsidP="000D1791">
      <w:pPr>
        <w:pStyle w:val="Bibliography"/>
      </w:pPr>
      <w:r w:rsidRPr="000D1791">
        <w:t>[6]</w:t>
      </w:r>
      <w:r w:rsidRPr="000D1791">
        <w:tab/>
        <w:t>X. Liu, W. Liu, Q. Tang, B. Liu, Y. Wada, and H. Yang, “Global Agricultural Water Scarcity Assessment Incorporating Blue and Green Water Availability Under Future Climate Change,” 2022, doi: 10.1029/2021EF002567.</w:t>
      </w:r>
    </w:p>
    <w:p w14:paraId="39ACCFB5" w14:textId="77777777" w:rsidR="000D1791" w:rsidRPr="000D1791" w:rsidRDefault="000D1791" w:rsidP="000D1791">
      <w:pPr>
        <w:pStyle w:val="Bibliography"/>
      </w:pPr>
      <w:r w:rsidRPr="000D1791">
        <w:t>[7]</w:t>
      </w:r>
      <w:r w:rsidRPr="000D1791">
        <w:tab/>
        <w:t xml:space="preserve">W. Schlenker and M. J. Roberts, “Nonlinear temperature effects indicate severe damages to U.S. crop yields under climate change,” </w:t>
      </w:r>
      <w:r w:rsidRPr="000D1791">
        <w:rPr>
          <w:i/>
          <w:iCs/>
        </w:rPr>
        <w:t>Proc. Natl. Acad. Sci. U. S. A.</w:t>
      </w:r>
      <w:r w:rsidRPr="000D1791">
        <w:t>, vol. 106, no. 37, pp. 15594–15598, 2009, doi: 10.1073/pnas.0906865106.</w:t>
      </w:r>
    </w:p>
    <w:p w14:paraId="35A91F68" w14:textId="77777777" w:rsidR="000D1791" w:rsidRPr="000D1791" w:rsidRDefault="000D1791" w:rsidP="000D1791">
      <w:pPr>
        <w:pStyle w:val="Bibliography"/>
      </w:pPr>
      <w:r w:rsidRPr="000D1791">
        <w:t>[8]</w:t>
      </w:r>
      <w:r w:rsidRPr="000D1791">
        <w:tab/>
        <w:t xml:space="preserve">J. Tack, A. Barkley, and L. L. Nalley, “Effect of warming temperatures on US wheat yields,” </w:t>
      </w:r>
      <w:r w:rsidRPr="000D1791">
        <w:rPr>
          <w:i/>
          <w:iCs/>
        </w:rPr>
        <w:t>Proc. Natl. Acad. Sci.</w:t>
      </w:r>
      <w:r w:rsidRPr="000D1791">
        <w:t>, vol. 112, no. 22, pp. 6931–6936, Jun. 2015, doi: 10.1073/pnas.1415181112.</w:t>
      </w:r>
    </w:p>
    <w:p w14:paraId="3426ABA7" w14:textId="77777777" w:rsidR="000D1791" w:rsidRPr="000D1791" w:rsidRDefault="000D1791" w:rsidP="000D1791">
      <w:pPr>
        <w:pStyle w:val="Bibliography"/>
      </w:pPr>
      <w:r w:rsidRPr="000D1791">
        <w:t>[9]</w:t>
      </w:r>
      <w:r w:rsidRPr="000D1791">
        <w:tab/>
        <w:t xml:space="preserve">P. Zhang, J. Zhang, and M. Chen, “Economic impacts of climate change on agriculture: The importance of additional climatic variables other than temperature and precipitation,” </w:t>
      </w:r>
      <w:r w:rsidRPr="000D1791">
        <w:rPr>
          <w:i/>
          <w:iCs/>
        </w:rPr>
        <w:t>J. Environ. Econ. Manag.</w:t>
      </w:r>
      <w:r w:rsidRPr="000D1791">
        <w:t>, vol. 83, pp. 8–31, May 2017, doi: 10.1016/j.jeem.2016.12.001.</w:t>
      </w:r>
    </w:p>
    <w:p w14:paraId="4A93FB76" w14:textId="77777777" w:rsidR="000D1791" w:rsidRPr="000D1791" w:rsidRDefault="000D1791" w:rsidP="000D1791">
      <w:pPr>
        <w:pStyle w:val="Bibliography"/>
      </w:pPr>
      <w:r w:rsidRPr="000D1791">
        <w:t>[10]</w:t>
      </w:r>
      <w:r w:rsidRPr="000D1791">
        <w:tab/>
        <w:t xml:space="preserve">A. M. Shew, J. B. Tack, L. L. Nalley, and P. Chaminuka, “Yield reduction under climate warming varies among wheat cultivars in South Africa,” </w:t>
      </w:r>
      <w:r w:rsidRPr="000D1791">
        <w:rPr>
          <w:i/>
          <w:iCs/>
        </w:rPr>
        <w:t>Nat. Commun.</w:t>
      </w:r>
      <w:r w:rsidRPr="000D1791">
        <w:t>, vol. 11, no. 1, p. 4408, Dec. 2020, doi: 10.1038/s41467-020-18317-8.</w:t>
      </w:r>
    </w:p>
    <w:p w14:paraId="2A22B6E2" w14:textId="77777777" w:rsidR="000D1791" w:rsidRPr="000D1791" w:rsidRDefault="000D1791" w:rsidP="000D1791">
      <w:pPr>
        <w:pStyle w:val="Bibliography"/>
      </w:pPr>
      <w:r w:rsidRPr="000D1791">
        <w:t>[11]</w:t>
      </w:r>
      <w:r w:rsidRPr="000D1791">
        <w:tab/>
        <w:t xml:space="preserve">E. Malikov, R. Miao, and J. Zhang, “Distributional and temporal heterogeneity in the climate change effects on U.S. agriculture,” </w:t>
      </w:r>
      <w:r w:rsidRPr="000D1791">
        <w:rPr>
          <w:i/>
          <w:iCs/>
        </w:rPr>
        <w:t>J. Environ. Econ. Manag.</w:t>
      </w:r>
      <w:r w:rsidRPr="000D1791">
        <w:t>, vol. 104, p. 102386, Nov. 2020, doi: 10.1016/j.jeem.2020.102386.</w:t>
      </w:r>
    </w:p>
    <w:p w14:paraId="10CECDDA" w14:textId="77777777" w:rsidR="000D1791" w:rsidRPr="000D1791" w:rsidRDefault="000D1791" w:rsidP="000D1791">
      <w:pPr>
        <w:pStyle w:val="Bibliography"/>
      </w:pPr>
      <w:r w:rsidRPr="000D1791">
        <w:t>[12]</w:t>
      </w:r>
      <w:r w:rsidRPr="000D1791">
        <w:tab/>
        <w:t xml:space="preserve">M. Gauly </w:t>
      </w:r>
      <w:r w:rsidRPr="000D1791">
        <w:rPr>
          <w:i/>
          <w:iCs/>
        </w:rPr>
        <w:t>et al.</w:t>
      </w:r>
      <w:r w:rsidRPr="000D1791">
        <w:t xml:space="preserve">, “Future consequences and challenges for dairy cow production systems arising from climate change in Central Europe – a review,” </w:t>
      </w:r>
      <w:r w:rsidRPr="000D1791">
        <w:rPr>
          <w:i/>
          <w:iCs/>
        </w:rPr>
        <w:t>Animal</w:t>
      </w:r>
      <w:r w:rsidRPr="000D1791">
        <w:t>, vol. 7, no. 5, pp. 843–859, 2013, doi: 10.1017/S1751731112002352.</w:t>
      </w:r>
    </w:p>
    <w:p w14:paraId="68BBDE30" w14:textId="77777777" w:rsidR="000D1791" w:rsidRPr="000D1791" w:rsidRDefault="000D1791" w:rsidP="000D1791">
      <w:pPr>
        <w:pStyle w:val="Bibliography"/>
      </w:pPr>
      <w:r w:rsidRPr="000D1791">
        <w:t>[13]</w:t>
      </w:r>
      <w:r w:rsidRPr="000D1791">
        <w:tab/>
        <w:t>N. Kemper, A. Flanders, B. Watkins, and M. Popp, “Impact of the 2012 Drought on Field Crops and Cattle Production in Arkansas - Preliminary Report,” Department of Agriculture, Research and Extension, University of Arkansas System.</w:t>
      </w:r>
    </w:p>
    <w:p w14:paraId="0A47C7E9" w14:textId="77777777" w:rsidR="000D1791" w:rsidRPr="000D1791" w:rsidRDefault="000D1791" w:rsidP="000D1791">
      <w:pPr>
        <w:pStyle w:val="Bibliography"/>
      </w:pPr>
      <w:r w:rsidRPr="000D1791">
        <w:t>[14]</w:t>
      </w:r>
      <w:r w:rsidRPr="000D1791">
        <w:tab/>
        <w:t xml:space="preserve">A. Mottet, C. de Haan, A. Falcucci, G. Tempio, C. Opio, and P. Gerber, “Livestock: On our plates or eating at our table? A new analysis of the feed/food debate,” </w:t>
      </w:r>
      <w:r w:rsidRPr="000D1791">
        <w:rPr>
          <w:i/>
          <w:iCs/>
        </w:rPr>
        <w:t>Glob. Food Secur.</w:t>
      </w:r>
      <w:r w:rsidRPr="000D1791">
        <w:t>, vol. 14, pp. 1–8, Sep. 2017, doi: 10.1016/j.gfs.2017.01.001.</w:t>
      </w:r>
    </w:p>
    <w:p w14:paraId="7ECCDB68" w14:textId="77777777" w:rsidR="000D1791" w:rsidRPr="000D1791" w:rsidRDefault="000D1791" w:rsidP="000D1791">
      <w:pPr>
        <w:pStyle w:val="Bibliography"/>
      </w:pPr>
      <w:r w:rsidRPr="000D1791">
        <w:lastRenderedPageBreak/>
        <w:t>[15]</w:t>
      </w:r>
      <w:r w:rsidRPr="000D1791">
        <w:tab/>
        <w:t xml:space="preserve">W. M. Simmons and R. L. Rizek, “Performance of the Livestock-Feed-Grain Sector,” </w:t>
      </w:r>
      <w:r w:rsidRPr="000D1791">
        <w:rPr>
          <w:i/>
          <w:iCs/>
        </w:rPr>
        <w:t>J. Farm Econ.</w:t>
      </w:r>
      <w:r w:rsidRPr="000D1791">
        <w:t>, vol. 48, no. 5, p. 1455, Dec. 1966, doi: 10.2307/1237161.</w:t>
      </w:r>
    </w:p>
    <w:p w14:paraId="140A139A" w14:textId="77777777" w:rsidR="000D1791" w:rsidRPr="000D1791" w:rsidRDefault="000D1791" w:rsidP="000D1791">
      <w:pPr>
        <w:pStyle w:val="Bibliography"/>
      </w:pPr>
      <w:r w:rsidRPr="000D1791">
        <w:t>[16]</w:t>
      </w:r>
      <w:r w:rsidRPr="000D1791">
        <w:tab/>
        <w:t xml:space="preserve">J. M. Marsh, “Cross-sector relationships between the corn feed grains and livestock and poultry economies,” </w:t>
      </w:r>
      <w:r w:rsidRPr="000D1791">
        <w:rPr>
          <w:i/>
          <w:iCs/>
        </w:rPr>
        <w:t>J. Agric. Resour. Econ.</w:t>
      </w:r>
      <w:r w:rsidRPr="000D1791">
        <w:t>, vol. 32, no. 1, pp. 93–114, 2007.</w:t>
      </w:r>
    </w:p>
    <w:p w14:paraId="619EC74C" w14:textId="77777777" w:rsidR="000D1791" w:rsidRPr="000D1791" w:rsidRDefault="000D1791" w:rsidP="000D1791">
      <w:pPr>
        <w:pStyle w:val="Bibliography"/>
      </w:pPr>
      <w:r w:rsidRPr="000D1791">
        <w:t>[17]</w:t>
      </w:r>
      <w:r w:rsidRPr="000D1791">
        <w:tab/>
        <w:t>United States Department of Agriculture [USDA], “USDA - National Agricultural Statistics Service, Quick Stats 2.0.” Accessed: May 05, 2019. [Online]. Available: http://quickstats.nass.usda.gov/</w:t>
      </w:r>
    </w:p>
    <w:p w14:paraId="23508BF9" w14:textId="77777777" w:rsidR="000D1791" w:rsidRPr="000D1791" w:rsidRDefault="000D1791" w:rsidP="000D1791">
      <w:pPr>
        <w:pStyle w:val="Bibliography"/>
      </w:pPr>
      <w:r w:rsidRPr="000D1791">
        <w:t>[18]</w:t>
      </w:r>
      <w:r w:rsidRPr="000D1791">
        <w:tab/>
        <w:t xml:space="preserve">C. M. Ahlberg </w:t>
      </w:r>
      <w:r w:rsidRPr="000D1791">
        <w:rPr>
          <w:i/>
          <w:iCs/>
        </w:rPr>
        <w:t>et al.</w:t>
      </w:r>
      <w:r w:rsidRPr="000D1791">
        <w:t xml:space="preserve">, “Environmental effects on water intake and water intake prediction in growing beef cattle,” </w:t>
      </w:r>
      <w:r w:rsidRPr="000D1791">
        <w:rPr>
          <w:i/>
          <w:iCs/>
        </w:rPr>
        <w:t>J. Anim. Sci.</w:t>
      </w:r>
      <w:r w:rsidRPr="000D1791">
        <w:t>, vol. 96, no. 10, pp. 4368–4384, Sep. 2018, doi: 10.1093/jas/sky267.</w:t>
      </w:r>
    </w:p>
    <w:p w14:paraId="64168F5E" w14:textId="77777777" w:rsidR="000D1791" w:rsidRPr="000D1791" w:rsidRDefault="000D1791" w:rsidP="000D1791">
      <w:pPr>
        <w:pStyle w:val="Bibliography"/>
      </w:pPr>
      <w:r w:rsidRPr="000D1791">
        <w:t>[19]</w:t>
      </w:r>
      <w:r w:rsidRPr="000D1791">
        <w:tab/>
        <w:t xml:space="preserve">L. Chen, V. M. Thorup, A. B. Kudahl, and S. Østergaard, “Effects of heat stress on feed intake, milk yield, milk composition, and feed efficiency in dairy cows: A meta-analysis,” </w:t>
      </w:r>
      <w:r w:rsidRPr="000D1791">
        <w:rPr>
          <w:i/>
          <w:iCs/>
        </w:rPr>
        <w:t>J. Dairy Sci.</w:t>
      </w:r>
      <w:r w:rsidRPr="000D1791">
        <w:t>, vol. 107, no. 5, pp. 3207–3218, May 2024, doi: 10.3168/jds.2023-24059.</w:t>
      </w:r>
    </w:p>
    <w:p w14:paraId="50870707" w14:textId="77777777" w:rsidR="000D1791" w:rsidRPr="000D1791" w:rsidRDefault="000D1791" w:rsidP="000D1791">
      <w:pPr>
        <w:pStyle w:val="Bibliography"/>
      </w:pPr>
      <w:r w:rsidRPr="000D1791">
        <w:t>[20]</w:t>
      </w:r>
      <w:r w:rsidRPr="000D1791">
        <w:tab/>
        <w:t xml:space="preserve">A. Summer, I. Lora, P. Formaggioni, and F. Gottardo, “Impact of heat stress on milk and meat production,” </w:t>
      </w:r>
      <w:r w:rsidRPr="000D1791">
        <w:rPr>
          <w:i/>
          <w:iCs/>
        </w:rPr>
        <w:t>Anim. Front.</w:t>
      </w:r>
      <w:r w:rsidRPr="000D1791">
        <w:t>, vol. 9, no. 1, pp. 39–46, Jan. 2019, doi: 10.1093/af/vfy026.</w:t>
      </w:r>
    </w:p>
    <w:p w14:paraId="67257760" w14:textId="77777777" w:rsidR="000D1791" w:rsidRPr="000D1791" w:rsidRDefault="000D1791" w:rsidP="000D1791">
      <w:pPr>
        <w:pStyle w:val="Bibliography"/>
      </w:pPr>
      <w:r w:rsidRPr="000D1791">
        <w:t>[21]</w:t>
      </w:r>
      <w:r w:rsidRPr="000D1791">
        <w:tab/>
        <w:t xml:space="preserve">D. Wolfenson and Z. Roth, “Impact of heat stress on cow reproduction and fertility,” </w:t>
      </w:r>
      <w:r w:rsidRPr="000D1791">
        <w:rPr>
          <w:i/>
          <w:iCs/>
        </w:rPr>
        <w:t>Anim. Front.</w:t>
      </w:r>
      <w:r w:rsidRPr="000D1791">
        <w:t>, vol. 9, no. 1, pp. 32–38, Jan. 2019, doi: 10.1093/af/vfy027.</w:t>
      </w:r>
    </w:p>
    <w:p w14:paraId="236183EE" w14:textId="77777777" w:rsidR="000D1791" w:rsidRPr="000D1791" w:rsidRDefault="000D1791" w:rsidP="000D1791">
      <w:pPr>
        <w:pStyle w:val="Bibliography"/>
      </w:pPr>
      <w:r w:rsidRPr="000D1791">
        <w:t>[22]</w:t>
      </w:r>
      <w:r w:rsidRPr="000D1791">
        <w:tab/>
        <w:t xml:space="preserve">Q. Xie </w:t>
      </w:r>
      <w:r w:rsidRPr="000D1791">
        <w:rPr>
          <w:i/>
          <w:iCs/>
        </w:rPr>
        <w:t>et al.</w:t>
      </w:r>
      <w:r w:rsidRPr="000D1791">
        <w:t xml:space="preserve">, “Satellite-observed shifts in C3/C4 abundance in Australian grasslands are associated with rainfall patterns,” </w:t>
      </w:r>
      <w:r w:rsidRPr="000D1791">
        <w:rPr>
          <w:i/>
          <w:iCs/>
        </w:rPr>
        <w:t>Remote Sens. Environ.</w:t>
      </w:r>
      <w:r w:rsidRPr="000D1791">
        <w:t>, vol. 273, p. 112983, May 2022, doi: 10.1016/j.rse.2022.112983.</w:t>
      </w:r>
    </w:p>
    <w:p w14:paraId="6F0F0412" w14:textId="77777777" w:rsidR="000D1791" w:rsidRPr="000D1791" w:rsidRDefault="000D1791" w:rsidP="000D1791">
      <w:pPr>
        <w:pStyle w:val="Bibliography"/>
      </w:pPr>
      <w:r w:rsidRPr="000D1791">
        <w:t>[23]</w:t>
      </w:r>
      <w:r w:rsidRPr="000D1791">
        <w:tab/>
        <w:t xml:space="preserve">W. Schlenker and M. J. Roberts, “Nonlinear temperature effects indicate severe damages to U.S. crop yields under climate change,” </w:t>
      </w:r>
      <w:r w:rsidRPr="000D1791">
        <w:rPr>
          <w:i/>
          <w:iCs/>
        </w:rPr>
        <w:t>Proc. Natl. Acad. Sci.</w:t>
      </w:r>
      <w:r w:rsidRPr="000D1791">
        <w:t>, vol. 106, no. 37, pp. 15594–15598, Sep. 2009, doi: 10.1073/pnas.0906865106.</w:t>
      </w:r>
    </w:p>
    <w:p w14:paraId="2E1C12BD" w14:textId="77777777" w:rsidR="000D1791" w:rsidRPr="000D1791" w:rsidRDefault="000D1791" w:rsidP="000D1791">
      <w:pPr>
        <w:pStyle w:val="Bibliography"/>
      </w:pPr>
      <w:r w:rsidRPr="000D1791">
        <w:t>[24]</w:t>
      </w:r>
      <w:r w:rsidRPr="000D1791">
        <w:tab/>
        <w:t xml:space="preserve">E. Malikov, R. Miao, and J. Zhang, “Distributional and temporal heterogeneity in the climate change effects on U.S. agriculture,” </w:t>
      </w:r>
      <w:r w:rsidRPr="000D1791">
        <w:rPr>
          <w:i/>
          <w:iCs/>
        </w:rPr>
        <w:t>J. Environ. Econ. Manag.</w:t>
      </w:r>
      <w:r w:rsidRPr="000D1791">
        <w:t>, vol. 104, p. 102386, Nov. 2020, doi: 10.1016/j.jeem.2020.102386.</w:t>
      </w:r>
    </w:p>
    <w:p w14:paraId="06079B3B" w14:textId="77777777" w:rsidR="000D1791" w:rsidRPr="000D1791" w:rsidRDefault="000D1791" w:rsidP="000D1791">
      <w:pPr>
        <w:pStyle w:val="Bibliography"/>
      </w:pPr>
      <w:r w:rsidRPr="000D1791">
        <w:t>[25]</w:t>
      </w:r>
      <w:r w:rsidRPr="000D1791">
        <w:tab/>
        <w:t xml:space="preserve">A. M. Shew, J. B. Tack, L. L. Nalley, and P. Chaminuka, “Yield reduction under climate warming varies among wheat cultivars in South Africa,” </w:t>
      </w:r>
      <w:r w:rsidRPr="000D1791">
        <w:rPr>
          <w:i/>
          <w:iCs/>
        </w:rPr>
        <w:t>Nat. Commun.</w:t>
      </w:r>
      <w:r w:rsidRPr="000D1791">
        <w:t>, vol. 11, no. 1, p. 4408, Sep. 2020, doi: 10.1038/s41467-020-18317-8.</w:t>
      </w:r>
    </w:p>
    <w:p w14:paraId="6CDACD3E" w14:textId="77777777" w:rsidR="000D1791" w:rsidRPr="000D1791" w:rsidRDefault="000D1791" w:rsidP="000D1791">
      <w:pPr>
        <w:pStyle w:val="Bibliography"/>
      </w:pPr>
      <w:r w:rsidRPr="000D1791">
        <w:t>[26]</w:t>
      </w:r>
      <w:r w:rsidRPr="000D1791">
        <w:tab/>
        <w:t>USDA National Agricultural Statistics Service, “CropScape - Cropland Data Layer (2019 release).” [Online]. Available: https://nassgeodata.gmu.edu/CropScape/</w:t>
      </w:r>
    </w:p>
    <w:p w14:paraId="2100C72D" w14:textId="77777777" w:rsidR="000D1791" w:rsidRPr="000D1791" w:rsidRDefault="000D1791" w:rsidP="000D1791">
      <w:pPr>
        <w:pStyle w:val="Bibliography"/>
      </w:pPr>
      <w:r w:rsidRPr="000D1791">
        <w:t>[27]</w:t>
      </w:r>
      <w:r w:rsidRPr="000D1791">
        <w:tab/>
        <w:t xml:space="preserve">M. A. Petersen, “Estimating Standard Errors in Finance Panel Data Sets: Comparing Approaches,” </w:t>
      </w:r>
      <w:r w:rsidRPr="000D1791">
        <w:rPr>
          <w:i/>
          <w:iCs/>
        </w:rPr>
        <w:t>Rev. Financ. Stud.</w:t>
      </w:r>
      <w:r w:rsidRPr="000D1791">
        <w:t>, vol. 22, no. 1, pp. 435–480, Jan. 2009, doi: 10.1093/rfs/hhn053.</w:t>
      </w:r>
    </w:p>
    <w:p w14:paraId="35E5C25E" w14:textId="77777777" w:rsidR="000D1791" w:rsidRPr="000D1791" w:rsidRDefault="000D1791" w:rsidP="000D1791">
      <w:pPr>
        <w:pStyle w:val="Bibliography"/>
      </w:pPr>
      <w:r w:rsidRPr="000D1791">
        <w:t>[28]</w:t>
      </w:r>
      <w:r w:rsidRPr="000D1791">
        <w:tab/>
        <w:t xml:space="preserve">A. C. Cameron, J. B. Gelbach, and D. L. Miller, “Robust Inference With Multiway Clustering,” </w:t>
      </w:r>
      <w:r w:rsidRPr="000D1791">
        <w:rPr>
          <w:i/>
          <w:iCs/>
        </w:rPr>
        <w:t>J. Bus. Econ. Stat.</w:t>
      </w:r>
      <w:r w:rsidRPr="000D1791">
        <w:t>, vol. 29, no. 2, pp. 238–249, Apr. 2011, doi: 10.1198/jbes.2010.07136.</w:t>
      </w:r>
    </w:p>
    <w:p w14:paraId="4A5E72C1" w14:textId="77777777" w:rsidR="000D1791" w:rsidRDefault="000D1791" w:rsidP="000D1791">
      <w:pPr>
        <w:pStyle w:val="Bibliography"/>
      </w:pPr>
      <w:r w:rsidRPr="000D1791">
        <w:t>[29]</w:t>
      </w:r>
      <w:r w:rsidRPr="000D1791">
        <w:tab/>
        <w:t xml:space="preserve">N. R. St-Pierre, B. Cobanov, and G. Schnitkey, “Economic Losses from Heat Stress by US Livestock Industries1,” </w:t>
      </w:r>
      <w:r w:rsidRPr="000D1791">
        <w:rPr>
          <w:i/>
          <w:iCs/>
        </w:rPr>
        <w:t>J. Dairy Sci.</w:t>
      </w:r>
      <w:r w:rsidRPr="000D1791">
        <w:t>, vol. 86, pp. E52–E77, Jun. 2003, doi: 10.3168/jds.S0022-0302(03)74040-5.</w:t>
      </w:r>
    </w:p>
    <w:p w14:paraId="0AFF1142" w14:textId="77777777" w:rsidR="00BE45B3" w:rsidRDefault="00BE45B3" w:rsidP="00BE45B3"/>
    <w:p w14:paraId="130B3A6D" w14:textId="77777777" w:rsidR="00BE45B3" w:rsidRDefault="00BE45B3" w:rsidP="00BE45B3">
      <w:pPr>
        <w:sectPr w:rsidR="00BE45B3" w:rsidSect="00EA30C9">
          <w:pgSz w:w="12240" w:h="15840"/>
          <w:pgMar w:top="1440" w:right="1440" w:bottom="1440" w:left="1440" w:header="720" w:footer="720" w:gutter="0"/>
          <w:cols w:space="720"/>
          <w:docGrid w:linePitch="360"/>
        </w:sectPr>
      </w:pPr>
    </w:p>
    <w:p w14:paraId="1AFB0634" w14:textId="5926F2BA" w:rsidR="00A51718" w:rsidRDefault="00A1269F" w:rsidP="00B0012F">
      <w:pPr>
        <w:pStyle w:val="Heading1"/>
        <w:rPr>
          <w:rFonts w:eastAsia="Times New Roman"/>
        </w:rPr>
      </w:pPr>
      <w:r w:rsidRPr="00C47481">
        <w:lastRenderedPageBreak/>
        <w:fldChar w:fldCharType="end"/>
      </w:r>
      <w:r w:rsidR="00570BD1" w:rsidRPr="00C47481">
        <w:rPr>
          <w:rFonts w:eastAsia="Times New Roman"/>
        </w:rPr>
        <w:t>T</w:t>
      </w:r>
      <w:r w:rsidR="00A35541" w:rsidRPr="00C47481">
        <w:rPr>
          <w:rFonts w:eastAsia="Times New Roman"/>
        </w:rPr>
        <w:t>a</w:t>
      </w:r>
      <w:r w:rsidR="00570BD1" w:rsidRPr="00C47481">
        <w:rPr>
          <w:rFonts w:eastAsia="Times New Roman"/>
        </w:rPr>
        <w:t xml:space="preserve">ble and Figures </w:t>
      </w:r>
    </w:p>
    <w:p w14:paraId="76A83DF6" w14:textId="44004A16" w:rsidR="00631517" w:rsidRDefault="00631517" w:rsidP="00E408A0">
      <w:pPr>
        <w:pStyle w:val="Heading4"/>
      </w:pPr>
      <w:r w:rsidRPr="00633D64">
        <w:t xml:space="preserve">Table 1: Means and </w:t>
      </w:r>
      <w:r w:rsidR="00B85C9A">
        <w:t>s</w:t>
      </w:r>
      <w:r w:rsidRPr="00633D64">
        <w:t xml:space="preserve">tandard </w:t>
      </w:r>
      <w:r w:rsidR="00B85C9A">
        <w:t>d</w:t>
      </w:r>
      <w:r w:rsidRPr="00633D64">
        <w:t>eviations of</w:t>
      </w:r>
      <w:r>
        <w:t xml:space="preserve"> </w:t>
      </w:r>
      <w:r w:rsidR="00B85C9A">
        <w:t>c</w:t>
      </w:r>
      <w:r w:rsidR="00C57892">
        <w:t>ounty level a</w:t>
      </w:r>
      <w:r w:rsidR="00C57892">
        <w:rPr>
          <w:rFonts w:eastAsia="Times New Roman"/>
        </w:rPr>
        <w:t>lfalfa production</w:t>
      </w:r>
      <w:r w:rsidR="00B85C9A">
        <w:rPr>
          <w:rFonts w:eastAsia="Times New Roman"/>
        </w:rPr>
        <w:t xml:space="preserve"> </w:t>
      </w:r>
      <w:r w:rsidR="00090CFF">
        <w:rPr>
          <w:rFonts w:eastAsia="Times New Roman"/>
        </w:rPr>
        <w:t xml:space="preserve">and </w:t>
      </w:r>
      <w:r w:rsidR="008401A4">
        <w:rPr>
          <w:rFonts w:eastAsia="Times New Roman"/>
        </w:rPr>
        <w:t>weather</w:t>
      </w:r>
      <w:r w:rsidR="00090CFF">
        <w:rPr>
          <w:rFonts w:eastAsia="Times New Roman"/>
        </w:rPr>
        <w:t xml:space="preserve"> </w:t>
      </w:r>
    </w:p>
    <w:tbl>
      <w:tblPr>
        <w:tblW w:w="0" w:type="auto"/>
        <w:tblLook w:val="04A0" w:firstRow="1" w:lastRow="0" w:firstColumn="1" w:lastColumn="0" w:noHBand="0" w:noVBand="1"/>
      </w:tblPr>
      <w:tblGrid>
        <w:gridCol w:w="5100"/>
        <w:gridCol w:w="2183"/>
      </w:tblGrid>
      <w:tr w:rsidR="00990D06" w:rsidRPr="00990D06" w14:paraId="316B7804" w14:textId="77777777" w:rsidTr="00B04DF5">
        <w:trPr>
          <w:trHeight w:val="300"/>
        </w:trPr>
        <w:tc>
          <w:tcPr>
            <w:tcW w:w="0" w:type="auto"/>
            <w:tcBorders>
              <w:top w:val="single" w:sz="4" w:space="0" w:color="auto"/>
              <w:left w:val="nil"/>
              <w:bottom w:val="single" w:sz="4" w:space="0" w:color="auto"/>
              <w:right w:val="nil"/>
            </w:tcBorders>
            <w:noWrap/>
            <w:vAlign w:val="center"/>
            <w:hideMark/>
          </w:tcPr>
          <w:p w14:paraId="3C1E0CD1" w14:textId="1B5144D1" w:rsidR="00990D06" w:rsidRPr="00C9115D" w:rsidRDefault="00990D06" w:rsidP="00602899">
            <w:pPr>
              <w:spacing w:after="0" w:line="240" w:lineRule="auto"/>
            </w:pPr>
            <w:r w:rsidRPr="00990D06">
              <w:t>Variables</w:t>
            </w:r>
          </w:p>
        </w:tc>
        <w:tc>
          <w:tcPr>
            <w:tcW w:w="0" w:type="auto"/>
            <w:tcBorders>
              <w:top w:val="single" w:sz="4" w:space="0" w:color="auto"/>
              <w:left w:val="nil"/>
              <w:bottom w:val="single" w:sz="4" w:space="0" w:color="auto"/>
              <w:right w:val="nil"/>
            </w:tcBorders>
            <w:noWrap/>
            <w:vAlign w:val="center"/>
            <w:hideMark/>
          </w:tcPr>
          <w:p w14:paraId="776655F4" w14:textId="71188A60" w:rsidR="00990D06" w:rsidRPr="00990D06" w:rsidRDefault="00990D06" w:rsidP="00602899">
            <w:pPr>
              <w:spacing w:after="0" w:line="240" w:lineRule="auto"/>
            </w:pPr>
            <w:r w:rsidRPr="00990D06">
              <w:t>Mean</w:t>
            </w:r>
          </w:p>
          <w:p w14:paraId="67DE88F6" w14:textId="2BFC5752" w:rsidR="00990D06" w:rsidRPr="00C9115D" w:rsidRDefault="00990D06" w:rsidP="00602899">
            <w:pPr>
              <w:spacing w:after="0" w:line="240" w:lineRule="auto"/>
            </w:pPr>
            <w:r w:rsidRPr="00990D06">
              <w:t>(Standard deviation)</w:t>
            </w:r>
          </w:p>
        </w:tc>
      </w:tr>
      <w:tr w:rsidR="00C9520A" w:rsidRPr="00990D06" w14:paraId="08FDA3DD" w14:textId="77777777" w:rsidTr="004009C8">
        <w:trPr>
          <w:trHeight w:val="300"/>
        </w:trPr>
        <w:tc>
          <w:tcPr>
            <w:tcW w:w="0" w:type="auto"/>
            <w:tcBorders>
              <w:top w:val="nil"/>
              <w:left w:val="nil"/>
              <w:bottom w:val="nil"/>
              <w:right w:val="nil"/>
            </w:tcBorders>
            <w:noWrap/>
            <w:vAlign w:val="center"/>
            <w:hideMark/>
          </w:tcPr>
          <w:p w14:paraId="02E805AD" w14:textId="02ED4C3D" w:rsidR="00C9520A" w:rsidRPr="00C9115D" w:rsidRDefault="00C9520A" w:rsidP="00C9520A">
            <w:pPr>
              <w:spacing w:after="0" w:line="240" w:lineRule="auto"/>
            </w:pPr>
            <w:r w:rsidRPr="00990D06">
              <w:t xml:space="preserve">Alfalfa production </w:t>
            </w:r>
            <w:r w:rsidRPr="00C9115D">
              <w:t>area</w:t>
            </w:r>
            <w:r w:rsidRPr="00990D06">
              <w:t xml:space="preserve"> (1,000 acres)</w:t>
            </w:r>
          </w:p>
        </w:tc>
        <w:tc>
          <w:tcPr>
            <w:tcW w:w="0" w:type="auto"/>
            <w:tcBorders>
              <w:top w:val="nil"/>
              <w:left w:val="nil"/>
              <w:bottom w:val="nil"/>
              <w:right w:val="nil"/>
            </w:tcBorders>
            <w:noWrap/>
            <w:vAlign w:val="bottom"/>
            <w:hideMark/>
          </w:tcPr>
          <w:p w14:paraId="1A2E779F" w14:textId="7319DE73" w:rsidR="00C9520A" w:rsidRPr="00C9115D" w:rsidRDefault="00C9520A" w:rsidP="00C9520A">
            <w:pPr>
              <w:spacing w:after="0" w:line="240" w:lineRule="auto"/>
              <w:rPr>
                <w:rFonts w:eastAsia="Times New Roman"/>
              </w:rPr>
            </w:pPr>
            <w:r>
              <w:t>14.10 (17.61)</w:t>
            </w:r>
          </w:p>
        </w:tc>
      </w:tr>
      <w:tr w:rsidR="00C9520A" w:rsidRPr="00990D06" w14:paraId="503FDC9B" w14:textId="77777777" w:rsidTr="004009C8">
        <w:trPr>
          <w:trHeight w:val="300"/>
        </w:trPr>
        <w:tc>
          <w:tcPr>
            <w:tcW w:w="0" w:type="auto"/>
            <w:tcBorders>
              <w:top w:val="nil"/>
              <w:left w:val="nil"/>
              <w:bottom w:val="nil"/>
              <w:right w:val="nil"/>
            </w:tcBorders>
            <w:noWrap/>
            <w:vAlign w:val="center"/>
            <w:hideMark/>
          </w:tcPr>
          <w:p w14:paraId="0584138E" w14:textId="5C9A2B25" w:rsidR="00C9520A" w:rsidRPr="00C9115D" w:rsidRDefault="00C9520A" w:rsidP="00C9520A">
            <w:pPr>
              <w:spacing w:after="0" w:line="240" w:lineRule="auto"/>
            </w:pPr>
            <w:r w:rsidRPr="00990D06">
              <w:t xml:space="preserve">Alfalfa </w:t>
            </w:r>
            <w:r w:rsidRPr="00C9115D">
              <w:t>production</w:t>
            </w:r>
            <w:r w:rsidRPr="00990D06">
              <w:t xml:space="preserve"> output (1,000 tons)</w:t>
            </w:r>
          </w:p>
        </w:tc>
        <w:tc>
          <w:tcPr>
            <w:tcW w:w="0" w:type="auto"/>
            <w:tcBorders>
              <w:top w:val="nil"/>
              <w:left w:val="nil"/>
              <w:bottom w:val="nil"/>
              <w:right w:val="nil"/>
            </w:tcBorders>
            <w:noWrap/>
            <w:vAlign w:val="bottom"/>
            <w:hideMark/>
          </w:tcPr>
          <w:p w14:paraId="36EEDFE4" w14:textId="0C5329DD" w:rsidR="00C9520A" w:rsidRPr="00C9115D" w:rsidRDefault="00C9520A" w:rsidP="00C9520A">
            <w:pPr>
              <w:spacing w:after="0" w:line="240" w:lineRule="auto"/>
              <w:rPr>
                <w:rFonts w:eastAsia="Times New Roman"/>
              </w:rPr>
            </w:pPr>
            <w:r>
              <w:t>40.92 (59.41)</w:t>
            </w:r>
          </w:p>
        </w:tc>
      </w:tr>
      <w:tr w:rsidR="00C9520A" w:rsidRPr="00990D06" w14:paraId="61CA5754" w14:textId="77777777" w:rsidTr="004009C8">
        <w:trPr>
          <w:trHeight w:val="300"/>
        </w:trPr>
        <w:tc>
          <w:tcPr>
            <w:tcW w:w="0" w:type="auto"/>
            <w:tcBorders>
              <w:top w:val="nil"/>
              <w:left w:val="nil"/>
              <w:bottom w:val="nil"/>
              <w:right w:val="nil"/>
            </w:tcBorders>
            <w:noWrap/>
            <w:vAlign w:val="center"/>
            <w:hideMark/>
          </w:tcPr>
          <w:p w14:paraId="3CFF1008" w14:textId="22A620FE" w:rsidR="00C9520A" w:rsidRPr="00C9115D" w:rsidRDefault="00C9520A" w:rsidP="00C9520A">
            <w:pPr>
              <w:spacing w:after="0" w:line="240" w:lineRule="auto"/>
            </w:pPr>
            <w:r w:rsidRPr="00990D06">
              <w:t xml:space="preserve">Alfalfa </w:t>
            </w:r>
            <w:r w:rsidRPr="00C9115D">
              <w:t>yield</w:t>
            </w:r>
            <w:r w:rsidRPr="00990D06">
              <w:t xml:space="preserve"> (tons/acre)</w:t>
            </w:r>
          </w:p>
        </w:tc>
        <w:tc>
          <w:tcPr>
            <w:tcW w:w="0" w:type="auto"/>
            <w:tcBorders>
              <w:top w:val="nil"/>
              <w:left w:val="nil"/>
              <w:bottom w:val="nil"/>
              <w:right w:val="nil"/>
            </w:tcBorders>
            <w:noWrap/>
            <w:vAlign w:val="bottom"/>
            <w:hideMark/>
          </w:tcPr>
          <w:p w14:paraId="2016E810" w14:textId="73FD2AA2" w:rsidR="00C9520A" w:rsidRPr="00C9115D" w:rsidRDefault="00C9520A" w:rsidP="00C9520A">
            <w:pPr>
              <w:spacing w:after="0" w:line="240" w:lineRule="auto"/>
              <w:rPr>
                <w:rFonts w:eastAsia="Times New Roman"/>
              </w:rPr>
            </w:pPr>
            <w:r>
              <w:t>3.00 (1.14)</w:t>
            </w:r>
          </w:p>
        </w:tc>
      </w:tr>
      <w:tr w:rsidR="00C9520A" w:rsidRPr="00990D06" w14:paraId="5DE21E38" w14:textId="77777777" w:rsidTr="004009C8">
        <w:trPr>
          <w:trHeight w:val="300"/>
        </w:trPr>
        <w:tc>
          <w:tcPr>
            <w:tcW w:w="0" w:type="auto"/>
            <w:tcBorders>
              <w:top w:val="nil"/>
              <w:left w:val="nil"/>
              <w:bottom w:val="nil"/>
              <w:right w:val="nil"/>
            </w:tcBorders>
            <w:noWrap/>
            <w:vAlign w:val="center"/>
            <w:hideMark/>
          </w:tcPr>
          <w:p w14:paraId="2A8511F3" w14:textId="3E17570D" w:rsidR="00C9520A" w:rsidRPr="00C9115D" w:rsidRDefault="00C9520A" w:rsidP="00C9520A">
            <w:pPr>
              <w:spacing w:after="0" w:line="240" w:lineRule="auto"/>
            </w:pPr>
            <w:r w:rsidRPr="00990D06">
              <w:t xml:space="preserve">Cattle </w:t>
            </w:r>
            <w:r w:rsidRPr="00C9115D">
              <w:t>inventory</w:t>
            </w:r>
            <w:r>
              <w:t xml:space="preserve"> </w:t>
            </w:r>
            <w:r w:rsidRPr="00990D06">
              <w:t xml:space="preserve">(1,000 </w:t>
            </w:r>
            <w:r>
              <w:t>head</w:t>
            </w:r>
            <w:r w:rsidRPr="00990D06">
              <w:t>)</w:t>
            </w:r>
          </w:p>
        </w:tc>
        <w:tc>
          <w:tcPr>
            <w:tcW w:w="0" w:type="auto"/>
            <w:tcBorders>
              <w:top w:val="nil"/>
              <w:left w:val="nil"/>
              <w:bottom w:val="nil"/>
              <w:right w:val="nil"/>
            </w:tcBorders>
            <w:noWrap/>
            <w:vAlign w:val="bottom"/>
            <w:hideMark/>
          </w:tcPr>
          <w:p w14:paraId="4E0E6859" w14:textId="50EE6431" w:rsidR="00C9520A" w:rsidRPr="00C9115D" w:rsidRDefault="00C9520A" w:rsidP="00C9520A">
            <w:pPr>
              <w:spacing w:after="0" w:line="240" w:lineRule="auto"/>
              <w:rPr>
                <w:rFonts w:eastAsia="Times New Roman"/>
              </w:rPr>
            </w:pPr>
            <w:r>
              <w:t>43.97 (43.85)</w:t>
            </w:r>
          </w:p>
        </w:tc>
      </w:tr>
      <w:tr w:rsidR="00C9520A" w:rsidRPr="00990D06" w14:paraId="733EA21A" w14:textId="77777777" w:rsidTr="004009C8">
        <w:trPr>
          <w:trHeight w:val="300"/>
        </w:trPr>
        <w:tc>
          <w:tcPr>
            <w:tcW w:w="0" w:type="auto"/>
            <w:tcBorders>
              <w:top w:val="nil"/>
              <w:left w:val="nil"/>
              <w:bottom w:val="nil"/>
              <w:right w:val="nil"/>
            </w:tcBorders>
            <w:noWrap/>
            <w:vAlign w:val="center"/>
            <w:hideMark/>
          </w:tcPr>
          <w:p w14:paraId="46AE3976" w14:textId="5092F9B4" w:rsidR="00C9520A" w:rsidRPr="00C9115D" w:rsidRDefault="00C9520A" w:rsidP="00C9520A">
            <w:pPr>
              <w:spacing w:after="0" w:line="240" w:lineRule="auto"/>
            </w:pPr>
            <w:r w:rsidRPr="00990D06">
              <w:t>Alfalfa growing season precipitation (inches)</w:t>
            </w:r>
          </w:p>
        </w:tc>
        <w:tc>
          <w:tcPr>
            <w:tcW w:w="0" w:type="auto"/>
            <w:tcBorders>
              <w:top w:val="nil"/>
              <w:left w:val="nil"/>
              <w:bottom w:val="nil"/>
              <w:right w:val="nil"/>
            </w:tcBorders>
            <w:noWrap/>
            <w:vAlign w:val="bottom"/>
            <w:hideMark/>
          </w:tcPr>
          <w:p w14:paraId="24DF4C05" w14:textId="1AA47504" w:rsidR="00C9520A" w:rsidRPr="00C9115D" w:rsidRDefault="00C9520A" w:rsidP="00C9520A">
            <w:pPr>
              <w:spacing w:after="0" w:line="240" w:lineRule="auto"/>
              <w:rPr>
                <w:rFonts w:eastAsia="Times New Roman"/>
              </w:rPr>
            </w:pPr>
            <w:r>
              <w:t>19.47 (8.83)</w:t>
            </w:r>
          </w:p>
        </w:tc>
      </w:tr>
      <w:tr w:rsidR="00C9520A" w:rsidRPr="00990D06" w14:paraId="358DE650" w14:textId="77777777" w:rsidTr="004009C8">
        <w:trPr>
          <w:trHeight w:val="300"/>
        </w:trPr>
        <w:tc>
          <w:tcPr>
            <w:tcW w:w="0" w:type="auto"/>
            <w:tcBorders>
              <w:top w:val="nil"/>
              <w:left w:val="nil"/>
              <w:bottom w:val="nil"/>
              <w:right w:val="nil"/>
            </w:tcBorders>
            <w:noWrap/>
            <w:vAlign w:val="center"/>
            <w:hideMark/>
          </w:tcPr>
          <w:p w14:paraId="44DDAEDD" w14:textId="799BA6D9" w:rsidR="00C9520A" w:rsidRPr="00C9115D" w:rsidRDefault="00C9520A" w:rsidP="00C9520A">
            <w:pPr>
              <w:spacing w:after="0" w:line="240" w:lineRule="auto"/>
            </w:pPr>
            <w:r w:rsidRPr="00990D06">
              <w:t>Alfalfa growing season degree-day (below 1</w:t>
            </w:r>
            <w:r>
              <w:t>4</w:t>
            </w:r>
            <w:r w:rsidRPr="00990D06">
              <w:t>°C)</w:t>
            </w:r>
          </w:p>
        </w:tc>
        <w:tc>
          <w:tcPr>
            <w:tcW w:w="0" w:type="auto"/>
            <w:tcBorders>
              <w:top w:val="nil"/>
              <w:left w:val="nil"/>
              <w:bottom w:val="nil"/>
              <w:right w:val="nil"/>
            </w:tcBorders>
            <w:noWrap/>
            <w:vAlign w:val="bottom"/>
            <w:hideMark/>
          </w:tcPr>
          <w:p w14:paraId="078A3206" w14:textId="0AFE7BEB" w:rsidR="00C9520A" w:rsidRPr="00C9115D" w:rsidRDefault="00C9520A" w:rsidP="00C9520A">
            <w:pPr>
              <w:spacing w:after="0" w:line="240" w:lineRule="auto"/>
              <w:rPr>
                <w:rFonts w:eastAsia="Times New Roman"/>
              </w:rPr>
            </w:pPr>
            <w:r>
              <w:t>1695.61 (233.54)</w:t>
            </w:r>
          </w:p>
        </w:tc>
      </w:tr>
      <w:tr w:rsidR="00C9520A" w:rsidRPr="00990D06" w14:paraId="3FC1A34A" w14:textId="77777777" w:rsidTr="004009C8">
        <w:trPr>
          <w:trHeight w:val="300"/>
        </w:trPr>
        <w:tc>
          <w:tcPr>
            <w:tcW w:w="0" w:type="auto"/>
            <w:tcBorders>
              <w:top w:val="nil"/>
              <w:left w:val="nil"/>
              <w:right w:val="nil"/>
            </w:tcBorders>
            <w:noWrap/>
            <w:vAlign w:val="center"/>
          </w:tcPr>
          <w:p w14:paraId="0B44A627" w14:textId="79A042E1" w:rsidR="00C9520A" w:rsidRPr="00990D06" w:rsidRDefault="00C9520A" w:rsidP="00C9520A">
            <w:pPr>
              <w:spacing w:after="0" w:line="240" w:lineRule="auto"/>
            </w:pPr>
            <w:r w:rsidRPr="00990D06">
              <w:t>Alfalfa growing season degree-day (1</w:t>
            </w:r>
            <w:r>
              <w:t>4</w:t>
            </w:r>
            <w:r w:rsidRPr="00990D06">
              <w:t>°C to 29°C)</w:t>
            </w:r>
          </w:p>
        </w:tc>
        <w:tc>
          <w:tcPr>
            <w:tcW w:w="0" w:type="auto"/>
            <w:tcBorders>
              <w:top w:val="nil"/>
              <w:left w:val="nil"/>
              <w:right w:val="nil"/>
            </w:tcBorders>
            <w:noWrap/>
            <w:vAlign w:val="bottom"/>
          </w:tcPr>
          <w:p w14:paraId="63A6E6C1" w14:textId="602B48C9" w:rsidR="00C9520A" w:rsidRPr="00990D06" w:rsidRDefault="00C9520A" w:rsidP="00C9520A">
            <w:pPr>
              <w:spacing w:after="0" w:line="240" w:lineRule="auto"/>
            </w:pPr>
            <w:r>
              <w:t>1549.01 (496.92)</w:t>
            </w:r>
          </w:p>
        </w:tc>
      </w:tr>
      <w:tr w:rsidR="00C9520A" w:rsidRPr="00990D06" w14:paraId="29DCCB65" w14:textId="77777777" w:rsidTr="004009C8">
        <w:trPr>
          <w:trHeight w:val="300"/>
        </w:trPr>
        <w:tc>
          <w:tcPr>
            <w:tcW w:w="0" w:type="auto"/>
            <w:tcBorders>
              <w:top w:val="nil"/>
              <w:left w:val="nil"/>
              <w:bottom w:val="single" w:sz="4" w:space="0" w:color="auto"/>
              <w:right w:val="nil"/>
            </w:tcBorders>
            <w:noWrap/>
            <w:vAlign w:val="center"/>
          </w:tcPr>
          <w:p w14:paraId="02A23750" w14:textId="544CF5D9" w:rsidR="00C9520A" w:rsidRPr="00990D06" w:rsidRDefault="00C9520A" w:rsidP="00C9520A">
            <w:pPr>
              <w:spacing w:after="0" w:line="240" w:lineRule="auto"/>
            </w:pPr>
            <w:r w:rsidRPr="00990D06">
              <w:t>Alfalfa growing season degree-day (above 29°C)</w:t>
            </w:r>
          </w:p>
        </w:tc>
        <w:tc>
          <w:tcPr>
            <w:tcW w:w="0" w:type="auto"/>
            <w:tcBorders>
              <w:top w:val="nil"/>
              <w:left w:val="nil"/>
              <w:bottom w:val="single" w:sz="4" w:space="0" w:color="auto"/>
              <w:right w:val="nil"/>
            </w:tcBorders>
            <w:noWrap/>
            <w:vAlign w:val="bottom"/>
          </w:tcPr>
          <w:p w14:paraId="24309AFB" w14:textId="0CF3591A" w:rsidR="00C9520A" w:rsidRPr="00990D06" w:rsidRDefault="00C9520A" w:rsidP="00C9520A">
            <w:pPr>
              <w:spacing w:after="0" w:line="240" w:lineRule="auto"/>
            </w:pPr>
            <w:r>
              <w:t>51.58 (64.27)</w:t>
            </w:r>
          </w:p>
        </w:tc>
      </w:tr>
      <w:tr w:rsidR="00990D06" w:rsidRPr="00990D06" w14:paraId="24A29168" w14:textId="77777777" w:rsidTr="00990D06">
        <w:trPr>
          <w:trHeight w:val="300"/>
        </w:trPr>
        <w:tc>
          <w:tcPr>
            <w:tcW w:w="0" w:type="auto"/>
            <w:tcBorders>
              <w:top w:val="single" w:sz="4" w:space="0" w:color="auto"/>
              <w:left w:val="nil"/>
              <w:bottom w:val="nil"/>
              <w:right w:val="nil"/>
            </w:tcBorders>
            <w:noWrap/>
            <w:vAlign w:val="center"/>
          </w:tcPr>
          <w:p w14:paraId="1FC96CC5" w14:textId="1C22ABAD" w:rsidR="00990D06" w:rsidRPr="00C9115D" w:rsidRDefault="00990D06" w:rsidP="00602899">
            <w:pPr>
              <w:spacing w:after="0" w:line="240" w:lineRule="auto"/>
            </w:pPr>
            <w:r w:rsidRPr="00990D06">
              <w:t xml:space="preserve">Number of </w:t>
            </w:r>
            <w:r w:rsidR="003F691E">
              <w:t>counties</w:t>
            </w:r>
          </w:p>
        </w:tc>
        <w:tc>
          <w:tcPr>
            <w:tcW w:w="0" w:type="auto"/>
            <w:tcBorders>
              <w:top w:val="single" w:sz="4" w:space="0" w:color="auto"/>
              <w:left w:val="nil"/>
              <w:bottom w:val="nil"/>
              <w:right w:val="nil"/>
            </w:tcBorders>
            <w:noWrap/>
            <w:vAlign w:val="center"/>
          </w:tcPr>
          <w:p w14:paraId="0D5E9604" w14:textId="3E2C2788" w:rsidR="00990D06" w:rsidRPr="00C9115D" w:rsidRDefault="00E144E4" w:rsidP="00602899">
            <w:pPr>
              <w:spacing w:after="0" w:line="240" w:lineRule="auto"/>
              <w:rPr>
                <w:rFonts w:eastAsia="Times New Roman"/>
              </w:rPr>
            </w:pPr>
            <w:r>
              <w:t>2,573</w:t>
            </w:r>
          </w:p>
        </w:tc>
      </w:tr>
      <w:tr w:rsidR="00990D06" w:rsidRPr="00990D06" w14:paraId="76BF287F" w14:textId="77777777" w:rsidTr="002611BB">
        <w:trPr>
          <w:trHeight w:val="300"/>
        </w:trPr>
        <w:tc>
          <w:tcPr>
            <w:tcW w:w="0" w:type="auto"/>
            <w:tcBorders>
              <w:top w:val="nil"/>
              <w:left w:val="nil"/>
              <w:bottom w:val="single" w:sz="4" w:space="0" w:color="auto"/>
              <w:right w:val="nil"/>
            </w:tcBorders>
            <w:noWrap/>
            <w:vAlign w:val="center"/>
          </w:tcPr>
          <w:p w14:paraId="0BB0F609" w14:textId="5FDCCEAE" w:rsidR="00990D06" w:rsidRPr="00C9115D" w:rsidRDefault="00990D06" w:rsidP="00602899">
            <w:pPr>
              <w:spacing w:after="0" w:line="240" w:lineRule="auto"/>
            </w:pPr>
            <w:r w:rsidRPr="00990D06">
              <w:t>Number of observations</w:t>
            </w:r>
          </w:p>
        </w:tc>
        <w:tc>
          <w:tcPr>
            <w:tcW w:w="0" w:type="auto"/>
            <w:tcBorders>
              <w:top w:val="nil"/>
              <w:left w:val="nil"/>
              <w:bottom w:val="single" w:sz="4" w:space="0" w:color="auto"/>
              <w:right w:val="nil"/>
            </w:tcBorders>
            <w:noWrap/>
            <w:vAlign w:val="center"/>
          </w:tcPr>
          <w:p w14:paraId="1EDB7F8A" w14:textId="66E278F5" w:rsidR="00990D06" w:rsidRPr="00C9115D" w:rsidRDefault="00E144E4" w:rsidP="00602899">
            <w:pPr>
              <w:spacing w:after="0" w:line="240" w:lineRule="auto"/>
              <w:rPr>
                <w:rFonts w:eastAsia="Times New Roman"/>
              </w:rPr>
            </w:pPr>
            <w:r>
              <w:t>70,890</w:t>
            </w:r>
          </w:p>
        </w:tc>
      </w:tr>
    </w:tbl>
    <w:p w14:paraId="63EB731B" w14:textId="20AB2E55" w:rsidR="00C9115D" w:rsidRDefault="003308C7" w:rsidP="00602899">
      <w:pPr>
        <w:spacing w:after="0" w:line="240" w:lineRule="auto"/>
      </w:pPr>
      <w:r>
        <w:t xml:space="preserve">Notes: Summary statistics are based </w:t>
      </w:r>
      <w:r w:rsidR="00992C61">
        <w:t>on data from</w:t>
      </w:r>
      <w:r>
        <w:t xml:space="preserve"> </w:t>
      </w:r>
      <w:r w:rsidR="00580ADE">
        <w:t>1950</w:t>
      </w:r>
      <w:r>
        <w:t xml:space="preserve"> to </w:t>
      </w:r>
      <w:r w:rsidR="00B85C9A">
        <w:t>202</w:t>
      </w:r>
      <w:r w:rsidR="00A4702B">
        <w:t>4</w:t>
      </w:r>
      <w:r>
        <w:t>.</w:t>
      </w:r>
    </w:p>
    <w:p w14:paraId="605F02C3" w14:textId="77777777" w:rsidR="00C9115D" w:rsidRDefault="00C9115D" w:rsidP="00E408A0">
      <w:pPr>
        <w:sectPr w:rsidR="00C9115D" w:rsidSect="00EA30C9">
          <w:pgSz w:w="12240" w:h="15840"/>
          <w:pgMar w:top="1440" w:right="1440" w:bottom="1440" w:left="1440" w:header="720" w:footer="720" w:gutter="0"/>
          <w:cols w:space="720"/>
          <w:docGrid w:linePitch="360"/>
        </w:sectPr>
      </w:pPr>
    </w:p>
    <w:p w14:paraId="786EB0BF" w14:textId="3C6EC8C6" w:rsidR="00254A78" w:rsidRDefault="00B83B5A" w:rsidP="00E408A0">
      <w:pPr>
        <w:pStyle w:val="Heading4"/>
      </w:pPr>
      <w:r w:rsidRPr="00B83B5A">
        <w:lastRenderedPageBreak/>
        <w:t>Table 2: Regression coefficients</w:t>
      </w:r>
    </w:p>
    <w:tbl>
      <w:tblPr>
        <w:tblW w:w="0" w:type="auto"/>
        <w:tblLayout w:type="fixed"/>
        <w:tblLook w:val="04A0" w:firstRow="1" w:lastRow="0" w:firstColumn="1" w:lastColumn="0" w:noHBand="0" w:noVBand="1"/>
      </w:tblPr>
      <w:tblGrid>
        <w:gridCol w:w="3690"/>
        <w:gridCol w:w="1440"/>
        <w:gridCol w:w="1530"/>
        <w:gridCol w:w="1440"/>
        <w:gridCol w:w="1530"/>
        <w:gridCol w:w="1530"/>
        <w:gridCol w:w="1440"/>
      </w:tblGrid>
      <w:tr w:rsidR="00503D7A" w:rsidRPr="000E005D" w14:paraId="60349ADF" w14:textId="77777777" w:rsidTr="000E005D">
        <w:trPr>
          <w:trHeight w:val="314"/>
        </w:trPr>
        <w:tc>
          <w:tcPr>
            <w:tcW w:w="3690" w:type="dxa"/>
            <w:tcBorders>
              <w:top w:val="single" w:sz="4" w:space="0" w:color="auto"/>
              <w:left w:val="nil"/>
              <w:right w:val="nil"/>
            </w:tcBorders>
            <w:noWrap/>
            <w:vAlign w:val="center"/>
          </w:tcPr>
          <w:p w14:paraId="71F0838B" w14:textId="77777777" w:rsidR="00503D7A" w:rsidRPr="000E005D" w:rsidRDefault="00503D7A" w:rsidP="002C2C08">
            <w:pPr>
              <w:spacing w:after="0" w:line="240" w:lineRule="auto"/>
              <w:jc w:val="left"/>
            </w:pPr>
          </w:p>
        </w:tc>
        <w:tc>
          <w:tcPr>
            <w:tcW w:w="8910" w:type="dxa"/>
            <w:gridSpan w:val="6"/>
            <w:tcBorders>
              <w:top w:val="single" w:sz="4" w:space="0" w:color="auto"/>
              <w:left w:val="nil"/>
              <w:bottom w:val="single" w:sz="4" w:space="0" w:color="auto"/>
              <w:right w:val="nil"/>
            </w:tcBorders>
            <w:noWrap/>
            <w:vAlign w:val="center"/>
          </w:tcPr>
          <w:p w14:paraId="2A06C15B" w14:textId="68235F59" w:rsidR="00503D7A" w:rsidRPr="000E005D" w:rsidRDefault="00503D7A" w:rsidP="002C2C08">
            <w:pPr>
              <w:spacing w:after="0" w:line="240" w:lineRule="auto"/>
              <w:jc w:val="center"/>
              <w:rPr>
                <w:b/>
                <w:bCs/>
              </w:rPr>
            </w:pPr>
            <w:r w:rsidRPr="000E005D">
              <w:rPr>
                <w:b/>
                <w:bCs/>
              </w:rPr>
              <w:t>Growing season weather aggregation window</w:t>
            </w:r>
          </w:p>
        </w:tc>
      </w:tr>
      <w:tr w:rsidR="00503D7A" w:rsidRPr="000E005D" w14:paraId="05B581A2" w14:textId="77777777" w:rsidTr="000E005D">
        <w:trPr>
          <w:trHeight w:val="350"/>
        </w:trPr>
        <w:tc>
          <w:tcPr>
            <w:tcW w:w="3690" w:type="dxa"/>
            <w:tcBorders>
              <w:left w:val="nil"/>
              <w:right w:val="nil"/>
            </w:tcBorders>
            <w:noWrap/>
            <w:vAlign w:val="center"/>
            <w:hideMark/>
          </w:tcPr>
          <w:p w14:paraId="2E3FC37F" w14:textId="7D721F5B" w:rsidR="00503D7A" w:rsidRPr="000E005D" w:rsidRDefault="00503D7A" w:rsidP="002C2C08">
            <w:pPr>
              <w:spacing w:after="0" w:line="240" w:lineRule="auto"/>
              <w:jc w:val="left"/>
            </w:pPr>
          </w:p>
        </w:tc>
        <w:tc>
          <w:tcPr>
            <w:tcW w:w="1440" w:type="dxa"/>
            <w:tcBorders>
              <w:top w:val="single" w:sz="4" w:space="0" w:color="auto"/>
              <w:left w:val="nil"/>
              <w:bottom w:val="single" w:sz="4" w:space="0" w:color="auto"/>
              <w:right w:val="nil"/>
            </w:tcBorders>
            <w:noWrap/>
            <w:vAlign w:val="center"/>
            <w:hideMark/>
          </w:tcPr>
          <w:p w14:paraId="5F3BB3BB" w14:textId="5E21F19B" w:rsidR="00503D7A" w:rsidRPr="000E005D" w:rsidRDefault="00F2011C" w:rsidP="002C2C08">
            <w:pPr>
              <w:spacing w:after="0" w:line="240" w:lineRule="auto"/>
              <w:jc w:val="left"/>
              <w:rPr>
                <w:b/>
                <w:bCs/>
              </w:rPr>
            </w:pPr>
            <w:r>
              <w:rPr>
                <w:b/>
                <w:bCs/>
              </w:rPr>
              <w:t>5</w:t>
            </w:r>
            <w:r w:rsidR="00503D7A" w:rsidRPr="000E005D">
              <w:rPr>
                <w:b/>
                <w:bCs/>
              </w:rPr>
              <w:t xml:space="preserve"> months</w:t>
            </w:r>
            <w:r w:rsidR="004D673E" w:rsidRPr="000E005D">
              <w:rPr>
                <w:rFonts w:eastAsia="Times New Roman"/>
                <w:b/>
                <w:bCs/>
                <w:color w:val="000000"/>
              </w:rPr>
              <w:t>††</w:t>
            </w:r>
          </w:p>
        </w:tc>
        <w:tc>
          <w:tcPr>
            <w:tcW w:w="1530" w:type="dxa"/>
            <w:tcBorders>
              <w:top w:val="single" w:sz="4" w:space="0" w:color="auto"/>
              <w:left w:val="nil"/>
              <w:bottom w:val="single" w:sz="4" w:space="0" w:color="auto"/>
              <w:right w:val="nil"/>
            </w:tcBorders>
            <w:noWrap/>
            <w:vAlign w:val="center"/>
            <w:hideMark/>
          </w:tcPr>
          <w:p w14:paraId="106AE98C" w14:textId="1CEC101C" w:rsidR="00503D7A" w:rsidRPr="000E005D" w:rsidRDefault="00F2011C" w:rsidP="002C2C08">
            <w:pPr>
              <w:spacing w:after="0" w:line="240" w:lineRule="auto"/>
              <w:jc w:val="left"/>
              <w:rPr>
                <w:b/>
                <w:bCs/>
              </w:rPr>
            </w:pPr>
            <w:r>
              <w:rPr>
                <w:b/>
                <w:bCs/>
              </w:rPr>
              <w:t>6</w:t>
            </w:r>
            <w:r w:rsidR="00503D7A" w:rsidRPr="000E005D">
              <w:rPr>
                <w:b/>
                <w:bCs/>
              </w:rPr>
              <w:t xml:space="preserve"> months</w:t>
            </w:r>
          </w:p>
        </w:tc>
        <w:tc>
          <w:tcPr>
            <w:tcW w:w="1440" w:type="dxa"/>
            <w:tcBorders>
              <w:top w:val="single" w:sz="4" w:space="0" w:color="auto"/>
              <w:left w:val="nil"/>
              <w:bottom w:val="single" w:sz="4" w:space="0" w:color="auto"/>
              <w:right w:val="nil"/>
            </w:tcBorders>
            <w:noWrap/>
            <w:vAlign w:val="center"/>
            <w:hideMark/>
          </w:tcPr>
          <w:p w14:paraId="708E66D0" w14:textId="641B3D2D" w:rsidR="00503D7A" w:rsidRPr="000E005D" w:rsidRDefault="00F2011C" w:rsidP="002C2C08">
            <w:pPr>
              <w:spacing w:after="0" w:line="240" w:lineRule="auto"/>
              <w:jc w:val="left"/>
              <w:rPr>
                <w:b/>
                <w:bCs/>
              </w:rPr>
            </w:pPr>
            <w:r>
              <w:rPr>
                <w:b/>
                <w:bCs/>
              </w:rPr>
              <w:t>7</w:t>
            </w:r>
            <w:r w:rsidR="00503D7A" w:rsidRPr="000E005D">
              <w:rPr>
                <w:b/>
                <w:bCs/>
              </w:rPr>
              <w:t xml:space="preserve"> months</w:t>
            </w:r>
          </w:p>
        </w:tc>
        <w:tc>
          <w:tcPr>
            <w:tcW w:w="1530" w:type="dxa"/>
            <w:tcBorders>
              <w:top w:val="single" w:sz="4" w:space="0" w:color="auto"/>
              <w:left w:val="nil"/>
              <w:bottom w:val="single" w:sz="4" w:space="0" w:color="auto"/>
              <w:right w:val="nil"/>
            </w:tcBorders>
            <w:noWrap/>
            <w:vAlign w:val="center"/>
            <w:hideMark/>
          </w:tcPr>
          <w:p w14:paraId="220B3A4B" w14:textId="52761F75" w:rsidR="00503D7A" w:rsidRPr="000E005D" w:rsidRDefault="00503D7A" w:rsidP="002C2C08">
            <w:pPr>
              <w:spacing w:after="0" w:line="240" w:lineRule="auto"/>
              <w:jc w:val="left"/>
              <w:rPr>
                <w:b/>
                <w:bCs/>
              </w:rPr>
            </w:pPr>
            <w:r w:rsidRPr="000E005D">
              <w:rPr>
                <w:b/>
                <w:bCs/>
              </w:rPr>
              <w:t>8 months</w:t>
            </w:r>
          </w:p>
        </w:tc>
        <w:tc>
          <w:tcPr>
            <w:tcW w:w="1530" w:type="dxa"/>
            <w:tcBorders>
              <w:top w:val="single" w:sz="4" w:space="0" w:color="auto"/>
              <w:left w:val="nil"/>
              <w:bottom w:val="single" w:sz="4" w:space="0" w:color="auto"/>
              <w:right w:val="nil"/>
            </w:tcBorders>
            <w:noWrap/>
            <w:vAlign w:val="center"/>
            <w:hideMark/>
          </w:tcPr>
          <w:p w14:paraId="23C8051F" w14:textId="7108A175" w:rsidR="00503D7A" w:rsidRPr="000E005D" w:rsidRDefault="00503D7A" w:rsidP="002C2C08">
            <w:pPr>
              <w:spacing w:after="0" w:line="240" w:lineRule="auto"/>
              <w:jc w:val="left"/>
              <w:rPr>
                <w:b/>
                <w:bCs/>
              </w:rPr>
            </w:pPr>
            <w:r w:rsidRPr="000E005D">
              <w:rPr>
                <w:b/>
                <w:bCs/>
              </w:rPr>
              <w:t>9 months</w:t>
            </w:r>
          </w:p>
        </w:tc>
        <w:tc>
          <w:tcPr>
            <w:tcW w:w="1440" w:type="dxa"/>
            <w:tcBorders>
              <w:top w:val="single" w:sz="4" w:space="0" w:color="auto"/>
              <w:left w:val="nil"/>
              <w:bottom w:val="single" w:sz="4" w:space="0" w:color="auto"/>
              <w:right w:val="nil"/>
            </w:tcBorders>
            <w:noWrap/>
            <w:vAlign w:val="center"/>
            <w:hideMark/>
          </w:tcPr>
          <w:p w14:paraId="4B7940BD" w14:textId="541AB56E" w:rsidR="00503D7A" w:rsidRPr="000E005D" w:rsidRDefault="00503D7A" w:rsidP="002C2C08">
            <w:pPr>
              <w:spacing w:after="0" w:line="240" w:lineRule="auto"/>
              <w:jc w:val="left"/>
              <w:rPr>
                <w:b/>
                <w:bCs/>
              </w:rPr>
            </w:pPr>
            <w:r w:rsidRPr="000E005D">
              <w:rPr>
                <w:b/>
                <w:bCs/>
              </w:rPr>
              <w:t>10 months</w:t>
            </w:r>
          </w:p>
        </w:tc>
      </w:tr>
      <w:tr w:rsidR="00F2011C" w:rsidRPr="000E005D" w14:paraId="278523EA" w14:textId="77777777" w:rsidTr="000E005D">
        <w:trPr>
          <w:trHeight w:val="20"/>
        </w:trPr>
        <w:tc>
          <w:tcPr>
            <w:tcW w:w="3690" w:type="dxa"/>
            <w:tcBorders>
              <w:top w:val="nil"/>
              <w:left w:val="nil"/>
              <w:bottom w:val="nil"/>
              <w:right w:val="nil"/>
            </w:tcBorders>
            <w:noWrap/>
            <w:vAlign w:val="center"/>
            <w:hideMark/>
          </w:tcPr>
          <w:p w14:paraId="1F3AD7B4" w14:textId="6D4515D6" w:rsidR="00F2011C" w:rsidRPr="000E005D" w:rsidRDefault="00F2011C" w:rsidP="00F2011C">
            <w:pPr>
              <w:spacing w:before="120" w:after="120" w:line="240" w:lineRule="auto"/>
              <w:jc w:val="left"/>
              <w:rPr>
                <w:b/>
                <w:bCs/>
              </w:rPr>
            </w:pPr>
            <w:r w:rsidRPr="000E005D">
              <w:t>Degree-day (below 14°C)</w:t>
            </w:r>
          </w:p>
        </w:tc>
        <w:tc>
          <w:tcPr>
            <w:tcW w:w="1440" w:type="dxa"/>
            <w:tcBorders>
              <w:top w:val="nil"/>
              <w:left w:val="nil"/>
              <w:bottom w:val="nil"/>
              <w:right w:val="nil"/>
            </w:tcBorders>
            <w:noWrap/>
            <w:vAlign w:val="center"/>
            <w:hideMark/>
          </w:tcPr>
          <w:p w14:paraId="2F71E28B" w14:textId="276E5FE5" w:rsidR="00F2011C" w:rsidRPr="000E005D" w:rsidRDefault="00F2011C" w:rsidP="00F2011C">
            <w:pPr>
              <w:spacing w:before="120" w:after="120" w:line="240" w:lineRule="auto"/>
              <w:jc w:val="left"/>
            </w:pPr>
            <w:r>
              <w:t>0.671*** (0.237)</w:t>
            </w:r>
          </w:p>
        </w:tc>
        <w:tc>
          <w:tcPr>
            <w:tcW w:w="1530" w:type="dxa"/>
            <w:tcBorders>
              <w:top w:val="nil"/>
              <w:left w:val="nil"/>
              <w:bottom w:val="nil"/>
              <w:right w:val="nil"/>
            </w:tcBorders>
            <w:noWrap/>
            <w:vAlign w:val="center"/>
            <w:hideMark/>
          </w:tcPr>
          <w:p w14:paraId="3F0CB348" w14:textId="4C617178" w:rsidR="00F2011C" w:rsidRPr="000E005D" w:rsidRDefault="00F2011C" w:rsidP="00F2011C">
            <w:pPr>
              <w:spacing w:before="120" w:after="120" w:line="240" w:lineRule="auto"/>
              <w:jc w:val="left"/>
            </w:pPr>
            <w:r>
              <w:t>0.484*** (0.142)</w:t>
            </w:r>
          </w:p>
        </w:tc>
        <w:tc>
          <w:tcPr>
            <w:tcW w:w="1440" w:type="dxa"/>
            <w:tcBorders>
              <w:top w:val="nil"/>
              <w:left w:val="nil"/>
              <w:bottom w:val="nil"/>
              <w:right w:val="nil"/>
            </w:tcBorders>
            <w:noWrap/>
            <w:vAlign w:val="center"/>
            <w:hideMark/>
          </w:tcPr>
          <w:p w14:paraId="6546A141" w14:textId="40E06DDE" w:rsidR="00F2011C" w:rsidRPr="000E005D" w:rsidRDefault="00F2011C" w:rsidP="00F2011C">
            <w:pPr>
              <w:spacing w:before="120" w:after="120" w:line="240" w:lineRule="auto"/>
              <w:jc w:val="left"/>
            </w:pPr>
            <w:r>
              <w:t>0.326*** (0.104)</w:t>
            </w:r>
          </w:p>
        </w:tc>
        <w:tc>
          <w:tcPr>
            <w:tcW w:w="1530" w:type="dxa"/>
            <w:tcBorders>
              <w:top w:val="nil"/>
              <w:left w:val="nil"/>
              <w:bottom w:val="nil"/>
              <w:right w:val="nil"/>
            </w:tcBorders>
            <w:noWrap/>
            <w:vAlign w:val="center"/>
            <w:hideMark/>
          </w:tcPr>
          <w:p w14:paraId="61A51B1F" w14:textId="4653AFF9" w:rsidR="00F2011C" w:rsidRPr="000E005D" w:rsidRDefault="00F2011C" w:rsidP="00F2011C">
            <w:pPr>
              <w:spacing w:before="120" w:after="120" w:line="240" w:lineRule="auto"/>
              <w:jc w:val="left"/>
            </w:pPr>
            <w:r>
              <w:t>0.213** (0.092)</w:t>
            </w:r>
          </w:p>
        </w:tc>
        <w:tc>
          <w:tcPr>
            <w:tcW w:w="1530" w:type="dxa"/>
            <w:tcBorders>
              <w:top w:val="nil"/>
              <w:left w:val="nil"/>
              <w:bottom w:val="nil"/>
              <w:right w:val="nil"/>
            </w:tcBorders>
            <w:noWrap/>
            <w:vAlign w:val="center"/>
            <w:hideMark/>
          </w:tcPr>
          <w:p w14:paraId="160E4C4E" w14:textId="7CD43C8A" w:rsidR="00F2011C" w:rsidRPr="000E005D" w:rsidRDefault="00F2011C" w:rsidP="00F2011C">
            <w:pPr>
              <w:spacing w:before="120" w:after="120" w:line="240" w:lineRule="auto"/>
              <w:jc w:val="left"/>
            </w:pPr>
            <w:r>
              <w:t>0.219*** (0.081)</w:t>
            </w:r>
          </w:p>
        </w:tc>
        <w:tc>
          <w:tcPr>
            <w:tcW w:w="1440" w:type="dxa"/>
            <w:tcBorders>
              <w:top w:val="nil"/>
              <w:left w:val="nil"/>
              <w:bottom w:val="nil"/>
              <w:right w:val="nil"/>
            </w:tcBorders>
            <w:noWrap/>
            <w:vAlign w:val="center"/>
            <w:hideMark/>
          </w:tcPr>
          <w:p w14:paraId="3D921039" w14:textId="6DD0FEB6" w:rsidR="00F2011C" w:rsidRPr="000E005D" w:rsidRDefault="00F2011C" w:rsidP="00F2011C">
            <w:pPr>
              <w:spacing w:before="120" w:after="120" w:line="240" w:lineRule="auto"/>
              <w:jc w:val="left"/>
            </w:pPr>
            <w:r>
              <w:t>0.171** (0.078)</w:t>
            </w:r>
          </w:p>
        </w:tc>
      </w:tr>
      <w:tr w:rsidR="00F2011C" w:rsidRPr="000E005D" w14:paraId="4543A95A" w14:textId="77777777" w:rsidTr="000E005D">
        <w:trPr>
          <w:trHeight w:val="20"/>
        </w:trPr>
        <w:tc>
          <w:tcPr>
            <w:tcW w:w="3690" w:type="dxa"/>
            <w:tcBorders>
              <w:top w:val="nil"/>
              <w:left w:val="nil"/>
              <w:bottom w:val="nil"/>
              <w:right w:val="nil"/>
            </w:tcBorders>
            <w:noWrap/>
            <w:vAlign w:val="center"/>
            <w:hideMark/>
          </w:tcPr>
          <w:p w14:paraId="39BF8D3E" w14:textId="1F5C5C1D" w:rsidR="00F2011C" w:rsidRPr="000E005D" w:rsidRDefault="00F2011C" w:rsidP="00F2011C">
            <w:pPr>
              <w:spacing w:after="120" w:line="240" w:lineRule="auto"/>
              <w:jc w:val="left"/>
            </w:pPr>
            <w:r w:rsidRPr="000E005D">
              <w:t>Degree-day (14°C to 29°C)</w:t>
            </w:r>
          </w:p>
        </w:tc>
        <w:tc>
          <w:tcPr>
            <w:tcW w:w="1440" w:type="dxa"/>
            <w:tcBorders>
              <w:top w:val="nil"/>
              <w:left w:val="nil"/>
              <w:bottom w:val="nil"/>
              <w:right w:val="nil"/>
            </w:tcBorders>
            <w:noWrap/>
            <w:vAlign w:val="center"/>
            <w:hideMark/>
          </w:tcPr>
          <w:p w14:paraId="049A5713" w14:textId="75B12617" w:rsidR="00F2011C" w:rsidRPr="000E005D" w:rsidRDefault="00F2011C" w:rsidP="00F2011C">
            <w:pPr>
              <w:spacing w:after="120" w:line="240" w:lineRule="auto"/>
              <w:jc w:val="left"/>
            </w:pPr>
            <w:r>
              <w:t>-0.024 (0.074)</w:t>
            </w:r>
          </w:p>
        </w:tc>
        <w:tc>
          <w:tcPr>
            <w:tcW w:w="1530" w:type="dxa"/>
            <w:tcBorders>
              <w:top w:val="nil"/>
              <w:left w:val="nil"/>
              <w:bottom w:val="nil"/>
              <w:right w:val="nil"/>
            </w:tcBorders>
            <w:noWrap/>
            <w:vAlign w:val="center"/>
            <w:hideMark/>
          </w:tcPr>
          <w:p w14:paraId="300B1552" w14:textId="6B43AA3E" w:rsidR="00F2011C" w:rsidRPr="000E005D" w:rsidRDefault="00F2011C" w:rsidP="00F2011C">
            <w:pPr>
              <w:spacing w:after="120" w:line="240" w:lineRule="auto"/>
              <w:jc w:val="left"/>
            </w:pPr>
            <w:r>
              <w:t>-0.012 (0.066)</w:t>
            </w:r>
          </w:p>
        </w:tc>
        <w:tc>
          <w:tcPr>
            <w:tcW w:w="1440" w:type="dxa"/>
            <w:tcBorders>
              <w:top w:val="nil"/>
              <w:left w:val="nil"/>
              <w:bottom w:val="nil"/>
              <w:right w:val="nil"/>
            </w:tcBorders>
            <w:noWrap/>
            <w:vAlign w:val="center"/>
            <w:hideMark/>
          </w:tcPr>
          <w:p w14:paraId="343DC514" w14:textId="442DA9E6" w:rsidR="00F2011C" w:rsidRPr="000E005D" w:rsidRDefault="00F2011C" w:rsidP="00F2011C">
            <w:pPr>
              <w:spacing w:after="120" w:line="240" w:lineRule="auto"/>
              <w:jc w:val="left"/>
            </w:pPr>
            <w:r>
              <w:t>0.025 (0.063)</w:t>
            </w:r>
          </w:p>
        </w:tc>
        <w:tc>
          <w:tcPr>
            <w:tcW w:w="1530" w:type="dxa"/>
            <w:tcBorders>
              <w:top w:val="nil"/>
              <w:left w:val="nil"/>
              <w:bottom w:val="nil"/>
              <w:right w:val="nil"/>
            </w:tcBorders>
            <w:noWrap/>
            <w:vAlign w:val="center"/>
            <w:hideMark/>
          </w:tcPr>
          <w:p w14:paraId="40BE6562" w14:textId="5889147D" w:rsidR="00F2011C" w:rsidRPr="000E005D" w:rsidRDefault="00F2011C" w:rsidP="00F2011C">
            <w:pPr>
              <w:spacing w:after="120" w:line="240" w:lineRule="auto"/>
              <w:jc w:val="left"/>
            </w:pPr>
            <w:r>
              <w:t>0.040 (0.060)</w:t>
            </w:r>
          </w:p>
        </w:tc>
        <w:tc>
          <w:tcPr>
            <w:tcW w:w="1530" w:type="dxa"/>
            <w:tcBorders>
              <w:top w:val="nil"/>
              <w:left w:val="nil"/>
              <w:bottom w:val="nil"/>
              <w:right w:val="nil"/>
            </w:tcBorders>
            <w:noWrap/>
            <w:vAlign w:val="center"/>
            <w:hideMark/>
          </w:tcPr>
          <w:p w14:paraId="634447A0" w14:textId="4A121269" w:rsidR="00F2011C" w:rsidRPr="000E005D" w:rsidRDefault="00F2011C" w:rsidP="00F2011C">
            <w:pPr>
              <w:spacing w:after="120" w:line="240" w:lineRule="auto"/>
              <w:jc w:val="left"/>
            </w:pPr>
            <w:r>
              <w:t>0.032 (0.061)</w:t>
            </w:r>
          </w:p>
        </w:tc>
        <w:tc>
          <w:tcPr>
            <w:tcW w:w="1440" w:type="dxa"/>
            <w:tcBorders>
              <w:top w:val="nil"/>
              <w:left w:val="nil"/>
              <w:bottom w:val="nil"/>
              <w:right w:val="nil"/>
            </w:tcBorders>
            <w:noWrap/>
            <w:vAlign w:val="center"/>
            <w:hideMark/>
          </w:tcPr>
          <w:p w14:paraId="4D7CBBF6" w14:textId="22A25BE6" w:rsidR="00F2011C" w:rsidRPr="000E005D" w:rsidRDefault="00F2011C" w:rsidP="00F2011C">
            <w:pPr>
              <w:spacing w:after="120" w:line="240" w:lineRule="auto"/>
              <w:jc w:val="left"/>
            </w:pPr>
            <w:r>
              <w:t>0.042 (0.060)</w:t>
            </w:r>
          </w:p>
        </w:tc>
      </w:tr>
      <w:tr w:rsidR="00F2011C" w:rsidRPr="000E005D" w14:paraId="44809723" w14:textId="77777777" w:rsidTr="000E005D">
        <w:trPr>
          <w:trHeight w:val="20"/>
        </w:trPr>
        <w:tc>
          <w:tcPr>
            <w:tcW w:w="3690" w:type="dxa"/>
            <w:tcBorders>
              <w:top w:val="nil"/>
              <w:left w:val="nil"/>
              <w:bottom w:val="nil"/>
              <w:right w:val="nil"/>
            </w:tcBorders>
            <w:noWrap/>
            <w:vAlign w:val="center"/>
            <w:hideMark/>
          </w:tcPr>
          <w:p w14:paraId="4FC4CB7E" w14:textId="5BAF4978" w:rsidR="00F2011C" w:rsidRPr="000E005D" w:rsidRDefault="00F2011C" w:rsidP="00F2011C">
            <w:pPr>
              <w:spacing w:after="120" w:line="240" w:lineRule="auto"/>
              <w:jc w:val="left"/>
            </w:pPr>
            <w:r w:rsidRPr="000E005D">
              <w:t>Degree-day (above 29°C)</w:t>
            </w:r>
          </w:p>
        </w:tc>
        <w:tc>
          <w:tcPr>
            <w:tcW w:w="1440" w:type="dxa"/>
            <w:tcBorders>
              <w:top w:val="nil"/>
              <w:left w:val="nil"/>
              <w:bottom w:val="nil"/>
              <w:right w:val="nil"/>
            </w:tcBorders>
            <w:noWrap/>
            <w:vAlign w:val="center"/>
            <w:hideMark/>
          </w:tcPr>
          <w:p w14:paraId="4BBF8CE5" w14:textId="71E457ED" w:rsidR="00F2011C" w:rsidRPr="000E005D" w:rsidRDefault="00F2011C" w:rsidP="00F2011C">
            <w:pPr>
              <w:spacing w:after="120" w:line="240" w:lineRule="auto"/>
              <w:jc w:val="left"/>
            </w:pPr>
            <w:r>
              <w:t>-2.047*** (0.210)</w:t>
            </w:r>
          </w:p>
        </w:tc>
        <w:tc>
          <w:tcPr>
            <w:tcW w:w="1530" w:type="dxa"/>
            <w:tcBorders>
              <w:top w:val="nil"/>
              <w:left w:val="nil"/>
              <w:bottom w:val="nil"/>
              <w:right w:val="nil"/>
            </w:tcBorders>
            <w:noWrap/>
            <w:vAlign w:val="center"/>
            <w:hideMark/>
          </w:tcPr>
          <w:p w14:paraId="0E8D0B28" w14:textId="161EDDF7" w:rsidR="00F2011C" w:rsidRPr="000E005D" w:rsidRDefault="00F2011C" w:rsidP="00F2011C">
            <w:pPr>
              <w:spacing w:after="120" w:line="240" w:lineRule="auto"/>
              <w:jc w:val="left"/>
            </w:pPr>
            <w:r>
              <w:t>-2.100*** (0.206)</w:t>
            </w:r>
          </w:p>
        </w:tc>
        <w:tc>
          <w:tcPr>
            <w:tcW w:w="1440" w:type="dxa"/>
            <w:tcBorders>
              <w:top w:val="nil"/>
              <w:left w:val="nil"/>
              <w:bottom w:val="nil"/>
              <w:right w:val="nil"/>
            </w:tcBorders>
            <w:noWrap/>
            <w:vAlign w:val="center"/>
            <w:hideMark/>
          </w:tcPr>
          <w:p w14:paraId="53F1A877" w14:textId="69145304" w:rsidR="00F2011C" w:rsidRPr="000E005D" w:rsidRDefault="00F2011C" w:rsidP="00F2011C">
            <w:pPr>
              <w:spacing w:after="120" w:line="240" w:lineRule="auto"/>
              <w:jc w:val="left"/>
            </w:pPr>
            <w:r>
              <w:t>-2.220*** (0.224)</w:t>
            </w:r>
          </w:p>
        </w:tc>
        <w:tc>
          <w:tcPr>
            <w:tcW w:w="1530" w:type="dxa"/>
            <w:tcBorders>
              <w:top w:val="nil"/>
              <w:left w:val="nil"/>
              <w:bottom w:val="nil"/>
              <w:right w:val="nil"/>
            </w:tcBorders>
            <w:noWrap/>
            <w:vAlign w:val="center"/>
            <w:hideMark/>
          </w:tcPr>
          <w:p w14:paraId="78D8BA23" w14:textId="61BE2D93" w:rsidR="00F2011C" w:rsidRPr="000E005D" w:rsidRDefault="00F2011C" w:rsidP="00F2011C">
            <w:pPr>
              <w:spacing w:after="120" w:line="240" w:lineRule="auto"/>
              <w:jc w:val="left"/>
            </w:pPr>
            <w:r>
              <w:t>-2.305*** (0.225)</w:t>
            </w:r>
          </w:p>
        </w:tc>
        <w:tc>
          <w:tcPr>
            <w:tcW w:w="1530" w:type="dxa"/>
            <w:tcBorders>
              <w:top w:val="nil"/>
              <w:left w:val="nil"/>
              <w:bottom w:val="nil"/>
              <w:right w:val="nil"/>
            </w:tcBorders>
            <w:noWrap/>
            <w:vAlign w:val="center"/>
            <w:hideMark/>
          </w:tcPr>
          <w:p w14:paraId="2D69D9E9" w14:textId="5EA93790" w:rsidR="00F2011C" w:rsidRPr="000E005D" w:rsidRDefault="00F2011C" w:rsidP="00F2011C">
            <w:pPr>
              <w:spacing w:after="120" w:line="240" w:lineRule="auto"/>
              <w:jc w:val="left"/>
            </w:pPr>
            <w:r>
              <w:t>-2.326*** (0.222)</w:t>
            </w:r>
          </w:p>
        </w:tc>
        <w:tc>
          <w:tcPr>
            <w:tcW w:w="1440" w:type="dxa"/>
            <w:tcBorders>
              <w:top w:val="nil"/>
              <w:left w:val="nil"/>
              <w:bottom w:val="nil"/>
              <w:right w:val="nil"/>
            </w:tcBorders>
            <w:noWrap/>
            <w:vAlign w:val="center"/>
            <w:hideMark/>
          </w:tcPr>
          <w:p w14:paraId="50D98999" w14:textId="5D76A24B" w:rsidR="00F2011C" w:rsidRPr="000E005D" w:rsidRDefault="00F2011C" w:rsidP="00F2011C">
            <w:pPr>
              <w:spacing w:after="120" w:line="240" w:lineRule="auto"/>
              <w:jc w:val="left"/>
            </w:pPr>
            <w:r>
              <w:t>-2.382*** (0.216)</w:t>
            </w:r>
          </w:p>
        </w:tc>
      </w:tr>
      <w:tr w:rsidR="00F2011C" w:rsidRPr="000E005D" w14:paraId="740AB85D" w14:textId="77777777" w:rsidTr="000E005D">
        <w:trPr>
          <w:trHeight w:val="20"/>
        </w:trPr>
        <w:tc>
          <w:tcPr>
            <w:tcW w:w="3690" w:type="dxa"/>
            <w:tcBorders>
              <w:top w:val="nil"/>
              <w:left w:val="nil"/>
              <w:right w:val="nil"/>
            </w:tcBorders>
            <w:noWrap/>
            <w:vAlign w:val="center"/>
            <w:hideMark/>
          </w:tcPr>
          <w:p w14:paraId="1432EA6A" w14:textId="2E8BECAB" w:rsidR="00F2011C" w:rsidRPr="000E005D" w:rsidRDefault="00F2011C" w:rsidP="00F2011C">
            <w:pPr>
              <w:spacing w:after="120" w:line="240" w:lineRule="auto"/>
              <w:jc w:val="left"/>
            </w:pPr>
            <w:r w:rsidRPr="000E005D">
              <w:t>Precipitation (inches)</w:t>
            </w:r>
          </w:p>
        </w:tc>
        <w:tc>
          <w:tcPr>
            <w:tcW w:w="1440" w:type="dxa"/>
            <w:tcBorders>
              <w:top w:val="nil"/>
              <w:left w:val="nil"/>
              <w:right w:val="nil"/>
            </w:tcBorders>
            <w:noWrap/>
            <w:vAlign w:val="center"/>
            <w:hideMark/>
          </w:tcPr>
          <w:p w14:paraId="0057B00A" w14:textId="5F3E2507" w:rsidR="00F2011C" w:rsidRPr="000E005D" w:rsidRDefault="00F2011C" w:rsidP="00F2011C">
            <w:pPr>
              <w:spacing w:after="120" w:line="240" w:lineRule="auto"/>
              <w:jc w:val="left"/>
            </w:pPr>
            <w:r>
              <w:t>21.192*** (3.287)</w:t>
            </w:r>
          </w:p>
        </w:tc>
        <w:tc>
          <w:tcPr>
            <w:tcW w:w="1530" w:type="dxa"/>
            <w:tcBorders>
              <w:top w:val="nil"/>
              <w:left w:val="nil"/>
              <w:right w:val="nil"/>
            </w:tcBorders>
            <w:noWrap/>
            <w:vAlign w:val="center"/>
            <w:hideMark/>
          </w:tcPr>
          <w:p w14:paraId="3F0926B5" w14:textId="47984C09" w:rsidR="00F2011C" w:rsidRPr="000E005D" w:rsidRDefault="00F2011C" w:rsidP="00F2011C">
            <w:pPr>
              <w:spacing w:after="120" w:line="240" w:lineRule="auto"/>
              <w:jc w:val="left"/>
            </w:pPr>
            <w:r>
              <w:t>19.632*** (3.011)</w:t>
            </w:r>
          </w:p>
        </w:tc>
        <w:tc>
          <w:tcPr>
            <w:tcW w:w="1440" w:type="dxa"/>
            <w:tcBorders>
              <w:top w:val="nil"/>
              <w:left w:val="nil"/>
              <w:right w:val="nil"/>
            </w:tcBorders>
            <w:noWrap/>
            <w:vAlign w:val="center"/>
            <w:hideMark/>
          </w:tcPr>
          <w:p w14:paraId="5D1EB4A3" w14:textId="65083C04" w:rsidR="00F2011C" w:rsidRPr="000E005D" w:rsidRDefault="00F2011C" w:rsidP="00F2011C">
            <w:pPr>
              <w:spacing w:after="120" w:line="240" w:lineRule="auto"/>
              <w:jc w:val="left"/>
            </w:pPr>
            <w:r>
              <w:t>17.623*** (2.890)</w:t>
            </w:r>
          </w:p>
        </w:tc>
        <w:tc>
          <w:tcPr>
            <w:tcW w:w="1530" w:type="dxa"/>
            <w:tcBorders>
              <w:top w:val="nil"/>
              <w:left w:val="nil"/>
              <w:right w:val="nil"/>
            </w:tcBorders>
            <w:noWrap/>
            <w:vAlign w:val="center"/>
            <w:hideMark/>
          </w:tcPr>
          <w:p w14:paraId="7E04B2FE" w14:textId="1B739F0A" w:rsidR="00F2011C" w:rsidRPr="000E005D" w:rsidRDefault="00F2011C" w:rsidP="00F2011C">
            <w:pPr>
              <w:spacing w:after="120" w:line="240" w:lineRule="auto"/>
              <w:jc w:val="left"/>
            </w:pPr>
            <w:r>
              <w:t>15.118*** (2.818)</w:t>
            </w:r>
          </w:p>
        </w:tc>
        <w:tc>
          <w:tcPr>
            <w:tcW w:w="1530" w:type="dxa"/>
            <w:tcBorders>
              <w:top w:val="nil"/>
              <w:left w:val="nil"/>
              <w:right w:val="nil"/>
            </w:tcBorders>
            <w:noWrap/>
            <w:vAlign w:val="center"/>
            <w:hideMark/>
          </w:tcPr>
          <w:p w14:paraId="1553BC0D" w14:textId="17B6CDAC" w:rsidR="00F2011C" w:rsidRPr="000E005D" w:rsidRDefault="00F2011C" w:rsidP="00F2011C">
            <w:pPr>
              <w:spacing w:after="120" w:line="240" w:lineRule="auto"/>
              <w:jc w:val="left"/>
            </w:pPr>
            <w:r>
              <w:t>12.897*** (2.537)</w:t>
            </w:r>
          </w:p>
        </w:tc>
        <w:tc>
          <w:tcPr>
            <w:tcW w:w="1440" w:type="dxa"/>
            <w:tcBorders>
              <w:top w:val="nil"/>
              <w:left w:val="nil"/>
              <w:right w:val="nil"/>
            </w:tcBorders>
            <w:noWrap/>
            <w:vAlign w:val="center"/>
            <w:hideMark/>
          </w:tcPr>
          <w:p w14:paraId="48620947" w14:textId="3654C9C8" w:rsidR="00F2011C" w:rsidRPr="000E005D" w:rsidRDefault="00F2011C" w:rsidP="00F2011C">
            <w:pPr>
              <w:spacing w:after="120" w:line="240" w:lineRule="auto"/>
              <w:jc w:val="left"/>
            </w:pPr>
            <w:r>
              <w:t>10.802*** (2.314)</w:t>
            </w:r>
          </w:p>
        </w:tc>
      </w:tr>
      <w:tr w:rsidR="00F2011C" w:rsidRPr="000E005D" w14:paraId="36B7A229" w14:textId="77777777" w:rsidTr="000E005D">
        <w:trPr>
          <w:trHeight w:val="20"/>
        </w:trPr>
        <w:tc>
          <w:tcPr>
            <w:tcW w:w="3690" w:type="dxa"/>
            <w:tcBorders>
              <w:top w:val="nil"/>
              <w:left w:val="nil"/>
              <w:bottom w:val="single" w:sz="4" w:space="0" w:color="auto"/>
              <w:right w:val="nil"/>
            </w:tcBorders>
            <w:noWrap/>
            <w:vAlign w:val="center"/>
            <w:hideMark/>
          </w:tcPr>
          <w:p w14:paraId="5A4FC43D" w14:textId="46A0C2B8" w:rsidR="00F2011C" w:rsidRPr="000E005D" w:rsidRDefault="00F2011C" w:rsidP="00F2011C">
            <w:pPr>
              <w:spacing w:after="120" w:line="240" w:lineRule="auto"/>
              <w:jc w:val="left"/>
            </w:pPr>
            <w:r w:rsidRPr="000E005D">
              <w:t>Precipitation (inches) squared</w:t>
            </w:r>
          </w:p>
        </w:tc>
        <w:tc>
          <w:tcPr>
            <w:tcW w:w="1440" w:type="dxa"/>
            <w:tcBorders>
              <w:top w:val="nil"/>
              <w:left w:val="nil"/>
              <w:bottom w:val="single" w:sz="4" w:space="0" w:color="auto"/>
              <w:right w:val="nil"/>
            </w:tcBorders>
            <w:noWrap/>
            <w:vAlign w:val="center"/>
            <w:hideMark/>
          </w:tcPr>
          <w:p w14:paraId="41284D20" w14:textId="08DD2256" w:rsidR="00F2011C" w:rsidRPr="000E005D" w:rsidRDefault="00F2011C" w:rsidP="00F2011C">
            <w:pPr>
              <w:spacing w:after="120" w:line="240" w:lineRule="auto"/>
              <w:jc w:val="left"/>
            </w:pPr>
            <w:r>
              <w:t>-0.386*** (0.087)</w:t>
            </w:r>
          </w:p>
        </w:tc>
        <w:tc>
          <w:tcPr>
            <w:tcW w:w="1530" w:type="dxa"/>
            <w:tcBorders>
              <w:top w:val="nil"/>
              <w:left w:val="nil"/>
              <w:bottom w:val="single" w:sz="4" w:space="0" w:color="auto"/>
              <w:right w:val="nil"/>
            </w:tcBorders>
            <w:noWrap/>
            <w:vAlign w:val="center"/>
            <w:hideMark/>
          </w:tcPr>
          <w:p w14:paraId="42238CDB" w14:textId="54522172" w:rsidR="00F2011C" w:rsidRPr="000E005D" w:rsidRDefault="00F2011C" w:rsidP="00F2011C">
            <w:pPr>
              <w:spacing w:after="120" w:line="240" w:lineRule="auto"/>
              <w:jc w:val="left"/>
            </w:pPr>
            <w:r>
              <w:t>-0.314*** (0.065)</w:t>
            </w:r>
          </w:p>
        </w:tc>
        <w:tc>
          <w:tcPr>
            <w:tcW w:w="1440" w:type="dxa"/>
            <w:tcBorders>
              <w:top w:val="nil"/>
              <w:left w:val="nil"/>
              <w:bottom w:val="single" w:sz="4" w:space="0" w:color="auto"/>
              <w:right w:val="nil"/>
            </w:tcBorders>
            <w:noWrap/>
            <w:vAlign w:val="center"/>
            <w:hideMark/>
          </w:tcPr>
          <w:p w14:paraId="68DF8B4B" w14:textId="607C5AEA" w:rsidR="00F2011C" w:rsidRPr="000E005D" w:rsidRDefault="00F2011C" w:rsidP="00F2011C">
            <w:pPr>
              <w:spacing w:after="120" w:line="240" w:lineRule="auto"/>
              <w:jc w:val="left"/>
            </w:pPr>
            <w:r>
              <w:t>-0.247*** (0.052)</w:t>
            </w:r>
          </w:p>
        </w:tc>
        <w:tc>
          <w:tcPr>
            <w:tcW w:w="1530" w:type="dxa"/>
            <w:tcBorders>
              <w:top w:val="nil"/>
              <w:left w:val="nil"/>
              <w:bottom w:val="single" w:sz="4" w:space="0" w:color="auto"/>
              <w:right w:val="nil"/>
            </w:tcBorders>
            <w:noWrap/>
            <w:vAlign w:val="center"/>
            <w:hideMark/>
          </w:tcPr>
          <w:p w14:paraId="62EF9F00" w14:textId="5311CCB4" w:rsidR="00F2011C" w:rsidRPr="000E005D" w:rsidRDefault="00F2011C" w:rsidP="00F2011C">
            <w:pPr>
              <w:spacing w:after="120" w:line="240" w:lineRule="auto"/>
              <w:jc w:val="left"/>
            </w:pPr>
            <w:r>
              <w:t>-0.186*** (0.043)</w:t>
            </w:r>
          </w:p>
        </w:tc>
        <w:tc>
          <w:tcPr>
            <w:tcW w:w="1530" w:type="dxa"/>
            <w:tcBorders>
              <w:top w:val="nil"/>
              <w:left w:val="nil"/>
              <w:bottom w:val="single" w:sz="4" w:space="0" w:color="auto"/>
              <w:right w:val="nil"/>
            </w:tcBorders>
            <w:noWrap/>
            <w:vAlign w:val="center"/>
            <w:hideMark/>
          </w:tcPr>
          <w:p w14:paraId="1DB3AC47" w14:textId="742F2830" w:rsidR="00F2011C" w:rsidRPr="000E005D" w:rsidRDefault="00F2011C" w:rsidP="00F2011C">
            <w:pPr>
              <w:spacing w:after="120" w:line="240" w:lineRule="auto"/>
              <w:jc w:val="left"/>
            </w:pPr>
            <w:r>
              <w:t>-0.139*** (0.034)</w:t>
            </w:r>
          </w:p>
        </w:tc>
        <w:tc>
          <w:tcPr>
            <w:tcW w:w="1440" w:type="dxa"/>
            <w:tcBorders>
              <w:top w:val="nil"/>
              <w:left w:val="nil"/>
              <w:bottom w:val="single" w:sz="4" w:space="0" w:color="auto"/>
              <w:right w:val="nil"/>
            </w:tcBorders>
            <w:noWrap/>
            <w:vAlign w:val="center"/>
            <w:hideMark/>
          </w:tcPr>
          <w:p w14:paraId="10E4DB24" w14:textId="4F1F3F0E" w:rsidR="00F2011C" w:rsidRPr="000E005D" w:rsidRDefault="00F2011C" w:rsidP="00F2011C">
            <w:pPr>
              <w:spacing w:after="120" w:line="240" w:lineRule="auto"/>
              <w:jc w:val="left"/>
            </w:pPr>
            <w:r>
              <w:t>-0.104*** (0.028)</w:t>
            </w:r>
          </w:p>
        </w:tc>
      </w:tr>
      <w:tr w:rsidR="00F2011C" w:rsidRPr="000E005D" w14:paraId="0935C4AC" w14:textId="77777777" w:rsidTr="000E005D">
        <w:trPr>
          <w:trHeight w:val="20"/>
        </w:trPr>
        <w:tc>
          <w:tcPr>
            <w:tcW w:w="3690" w:type="dxa"/>
            <w:tcBorders>
              <w:top w:val="single" w:sz="4" w:space="0" w:color="auto"/>
              <w:left w:val="nil"/>
              <w:bottom w:val="nil"/>
              <w:right w:val="nil"/>
            </w:tcBorders>
            <w:noWrap/>
            <w:vAlign w:val="center"/>
            <w:hideMark/>
          </w:tcPr>
          <w:p w14:paraId="25CB9673" w14:textId="77777777" w:rsidR="00F2011C" w:rsidRPr="000E005D" w:rsidRDefault="00F2011C" w:rsidP="00F2011C">
            <w:pPr>
              <w:spacing w:before="120" w:after="120" w:line="240" w:lineRule="auto"/>
              <w:jc w:val="left"/>
            </w:pPr>
            <w:r w:rsidRPr="000E005D">
              <w:t>No. of observations</w:t>
            </w:r>
          </w:p>
        </w:tc>
        <w:tc>
          <w:tcPr>
            <w:tcW w:w="1440" w:type="dxa"/>
            <w:tcBorders>
              <w:top w:val="single" w:sz="4" w:space="0" w:color="auto"/>
              <w:left w:val="nil"/>
              <w:bottom w:val="nil"/>
              <w:right w:val="nil"/>
            </w:tcBorders>
            <w:noWrap/>
            <w:vAlign w:val="center"/>
            <w:hideMark/>
          </w:tcPr>
          <w:p w14:paraId="0E578CF3" w14:textId="57BB6C1B" w:rsidR="00F2011C" w:rsidRPr="000E005D" w:rsidRDefault="00F2011C" w:rsidP="00F2011C">
            <w:pPr>
              <w:spacing w:before="120" w:after="120" w:line="240" w:lineRule="auto"/>
              <w:jc w:val="left"/>
            </w:pPr>
            <w:r>
              <w:t>70,890</w:t>
            </w:r>
          </w:p>
        </w:tc>
        <w:tc>
          <w:tcPr>
            <w:tcW w:w="1530" w:type="dxa"/>
            <w:tcBorders>
              <w:top w:val="single" w:sz="4" w:space="0" w:color="auto"/>
              <w:left w:val="nil"/>
              <w:bottom w:val="nil"/>
              <w:right w:val="nil"/>
            </w:tcBorders>
            <w:noWrap/>
            <w:vAlign w:val="center"/>
            <w:hideMark/>
          </w:tcPr>
          <w:p w14:paraId="4FC71194" w14:textId="4B46BFA5" w:rsidR="00F2011C" w:rsidRPr="000E005D" w:rsidRDefault="00F2011C" w:rsidP="00F2011C">
            <w:pPr>
              <w:spacing w:before="120" w:after="120" w:line="240" w:lineRule="auto"/>
              <w:jc w:val="left"/>
            </w:pPr>
            <w:r>
              <w:t>70,890</w:t>
            </w:r>
          </w:p>
        </w:tc>
        <w:tc>
          <w:tcPr>
            <w:tcW w:w="1440" w:type="dxa"/>
            <w:tcBorders>
              <w:top w:val="single" w:sz="4" w:space="0" w:color="auto"/>
              <w:left w:val="nil"/>
              <w:bottom w:val="nil"/>
              <w:right w:val="nil"/>
            </w:tcBorders>
            <w:noWrap/>
            <w:vAlign w:val="center"/>
            <w:hideMark/>
          </w:tcPr>
          <w:p w14:paraId="22FA49A9" w14:textId="604F3E0E" w:rsidR="00F2011C" w:rsidRPr="000E005D" w:rsidRDefault="00F2011C" w:rsidP="00F2011C">
            <w:pPr>
              <w:spacing w:before="120" w:after="120" w:line="240" w:lineRule="auto"/>
              <w:jc w:val="left"/>
            </w:pPr>
            <w:r>
              <w:t>70,890</w:t>
            </w:r>
          </w:p>
        </w:tc>
        <w:tc>
          <w:tcPr>
            <w:tcW w:w="1530" w:type="dxa"/>
            <w:tcBorders>
              <w:top w:val="single" w:sz="4" w:space="0" w:color="auto"/>
              <w:left w:val="nil"/>
              <w:bottom w:val="nil"/>
              <w:right w:val="nil"/>
            </w:tcBorders>
            <w:noWrap/>
            <w:vAlign w:val="center"/>
            <w:hideMark/>
          </w:tcPr>
          <w:p w14:paraId="76E8ABA3" w14:textId="08C16B30" w:rsidR="00F2011C" w:rsidRPr="000E005D" w:rsidRDefault="00F2011C" w:rsidP="00F2011C">
            <w:pPr>
              <w:spacing w:before="120" w:after="120" w:line="240" w:lineRule="auto"/>
              <w:jc w:val="left"/>
            </w:pPr>
            <w:r>
              <w:t>70,802</w:t>
            </w:r>
          </w:p>
        </w:tc>
        <w:tc>
          <w:tcPr>
            <w:tcW w:w="1530" w:type="dxa"/>
            <w:tcBorders>
              <w:top w:val="single" w:sz="4" w:space="0" w:color="auto"/>
              <w:left w:val="nil"/>
              <w:bottom w:val="nil"/>
              <w:right w:val="nil"/>
            </w:tcBorders>
            <w:noWrap/>
            <w:vAlign w:val="center"/>
            <w:hideMark/>
          </w:tcPr>
          <w:p w14:paraId="570D84D9" w14:textId="65320448" w:rsidR="00F2011C" w:rsidRPr="000E005D" w:rsidRDefault="00F2011C" w:rsidP="00F2011C">
            <w:pPr>
              <w:spacing w:before="120" w:after="120" w:line="240" w:lineRule="auto"/>
              <w:jc w:val="left"/>
            </w:pPr>
            <w:r>
              <w:t>70,785</w:t>
            </w:r>
          </w:p>
        </w:tc>
        <w:tc>
          <w:tcPr>
            <w:tcW w:w="1440" w:type="dxa"/>
            <w:tcBorders>
              <w:top w:val="single" w:sz="4" w:space="0" w:color="auto"/>
              <w:left w:val="nil"/>
              <w:bottom w:val="nil"/>
              <w:right w:val="nil"/>
            </w:tcBorders>
            <w:noWrap/>
            <w:vAlign w:val="center"/>
            <w:hideMark/>
          </w:tcPr>
          <w:p w14:paraId="3CAE63C1" w14:textId="56C92E8B" w:rsidR="00F2011C" w:rsidRPr="000E005D" w:rsidRDefault="00F2011C" w:rsidP="00F2011C">
            <w:pPr>
              <w:spacing w:before="120" w:after="120" w:line="240" w:lineRule="auto"/>
              <w:jc w:val="left"/>
            </w:pPr>
            <w:r>
              <w:t>70,785</w:t>
            </w:r>
          </w:p>
        </w:tc>
      </w:tr>
      <w:tr w:rsidR="002F40D4" w:rsidRPr="000E005D" w14:paraId="02216775" w14:textId="77777777" w:rsidTr="00086B24">
        <w:trPr>
          <w:trHeight w:val="20"/>
        </w:trPr>
        <w:tc>
          <w:tcPr>
            <w:tcW w:w="3690" w:type="dxa"/>
            <w:tcBorders>
              <w:top w:val="nil"/>
              <w:left w:val="nil"/>
              <w:bottom w:val="nil"/>
              <w:right w:val="nil"/>
            </w:tcBorders>
            <w:noWrap/>
            <w:vAlign w:val="center"/>
          </w:tcPr>
          <w:p w14:paraId="7E47BC59" w14:textId="73DA0D67" w:rsidR="002F40D4" w:rsidRPr="000E005D" w:rsidRDefault="002F40D4" w:rsidP="002F40D4">
            <w:pPr>
              <w:spacing w:after="120" w:line="240" w:lineRule="auto"/>
              <w:jc w:val="left"/>
            </w:pPr>
            <w:r w:rsidRPr="000E005D">
              <w:t xml:space="preserve">No. of </w:t>
            </w:r>
            <w:r>
              <w:t>counties</w:t>
            </w:r>
          </w:p>
        </w:tc>
        <w:tc>
          <w:tcPr>
            <w:tcW w:w="1440" w:type="dxa"/>
            <w:tcBorders>
              <w:top w:val="nil"/>
              <w:left w:val="nil"/>
              <w:bottom w:val="nil"/>
              <w:right w:val="nil"/>
            </w:tcBorders>
            <w:noWrap/>
          </w:tcPr>
          <w:p w14:paraId="2111993F" w14:textId="7F652E4A" w:rsidR="002F40D4" w:rsidRDefault="002F40D4" w:rsidP="002F40D4">
            <w:pPr>
              <w:spacing w:after="120" w:line="240" w:lineRule="auto"/>
              <w:jc w:val="left"/>
            </w:pPr>
            <w:r w:rsidRPr="00F84EB4">
              <w:t>2,573</w:t>
            </w:r>
          </w:p>
        </w:tc>
        <w:tc>
          <w:tcPr>
            <w:tcW w:w="1530" w:type="dxa"/>
            <w:tcBorders>
              <w:top w:val="nil"/>
              <w:left w:val="nil"/>
              <w:bottom w:val="nil"/>
              <w:right w:val="nil"/>
            </w:tcBorders>
            <w:noWrap/>
          </w:tcPr>
          <w:p w14:paraId="3B30C38E" w14:textId="67ADD46D" w:rsidR="002F40D4" w:rsidRDefault="002F40D4" w:rsidP="002F40D4">
            <w:pPr>
              <w:spacing w:after="120" w:line="240" w:lineRule="auto"/>
              <w:jc w:val="left"/>
            </w:pPr>
            <w:r w:rsidRPr="00F84EB4">
              <w:t>2,573</w:t>
            </w:r>
          </w:p>
        </w:tc>
        <w:tc>
          <w:tcPr>
            <w:tcW w:w="1440" w:type="dxa"/>
            <w:tcBorders>
              <w:top w:val="nil"/>
              <w:left w:val="nil"/>
              <w:bottom w:val="nil"/>
              <w:right w:val="nil"/>
            </w:tcBorders>
            <w:noWrap/>
          </w:tcPr>
          <w:p w14:paraId="58CAE4DE" w14:textId="12BB4A11" w:rsidR="002F40D4" w:rsidRDefault="002F40D4" w:rsidP="002F40D4">
            <w:pPr>
              <w:spacing w:after="120" w:line="240" w:lineRule="auto"/>
              <w:jc w:val="left"/>
            </w:pPr>
            <w:r w:rsidRPr="00F84EB4">
              <w:t>2,573</w:t>
            </w:r>
          </w:p>
        </w:tc>
        <w:tc>
          <w:tcPr>
            <w:tcW w:w="1530" w:type="dxa"/>
            <w:tcBorders>
              <w:top w:val="nil"/>
              <w:left w:val="nil"/>
              <w:bottom w:val="nil"/>
              <w:right w:val="nil"/>
            </w:tcBorders>
            <w:noWrap/>
          </w:tcPr>
          <w:p w14:paraId="7ABB0105" w14:textId="36153A4E" w:rsidR="002F40D4" w:rsidRDefault="002F40D4" w:rsidP="002F40D4">
            <w:pPr>
              <w:spacing w:after="120" w:line="240" w:lineRule="auto"/>
              <w:jc w:val="left"/>
            </w:pPr>
            <w:r w:rsidRPr="00F84EB4">
              <w:t>2,573</w:t>
            </w:r>
          </w:p>
        </w:tc>
        <w:tc>
          <w:tcPr>
            <w:tcW w:w="1530" w:type="dxa"/>
            <w:tcBorders>
              <w:top w:val="nil"/>
              <w:left w:val="nil"/>
              <w:bottom w:val="nil"/>
              <w:right w:val="nil"/>
            </w:tcBorders>
            <w:noWrap/>
          </w:tcPr>
          <w:p w14:paraId="73231DFD" w14:textId="676A8ACA" w:rsidR="002F40D4" w:rsidRDefault="002F40D4" w:rsidP="002F40D4">
            <w:pPr>
              <w:spacing w:after="120" w:line="240" w:lineRule="auto"/>
              <w:jc w:val="left"/>
            </w:pPr>
            <w:r w:rsidRPr="00F84EB4">
              <w:t>2,573</w:t>
            </w:r>
          </w:p>
        </w:tc>
        <w:tc>
          <w:tcPr>
            <w:tcW w:w="1440" w:type="dxa"/>
            <w:tcBorders>
              <w:top w:val="nil"/>
              <w:left w:val="nil"/>
              <w:bottom w:val="nil"/>
              <w:right w:val="nil"/>
            </w:tcBorders>
            <w:noWrap/>
          </w:tcPr>
          <w:p w14:paraId="254278CF" w14:textId="7D5B5A05" w:rsidR="002F40D4" w:rsidRDefault="002F40D4" w:rsidP="002F40D4">
            <w:pPr>
              <w:spacing w:after="120" w:line="240" w:lineRule="auto"/>
              <w:jc w:val="left"/>
            </w:pPr>
            <w:r w:rsidRPr="00F84EB4">
              <w:t>2,573</w:t>
            </w:r>
          </w:p>
        </w:tc>
      </w:tr>
      <w:tr w:rsidR="00F2011C" w:rsidRPr="000E005D" w14:paraId="27413F5F" w14:textId="77777777" w:rsidTr="000E005D">
        <w:trPr>
          <w:trHeight w:val="20"/>
        </w:trPr>
        <w:tc>
          <w:tcPr>
            <w:tcW w:w="3690" w:type="dxa"/>
            <w:tcBorders>
              <w:top w:val="nil"/>
              <w:left w:val="nil"/>
              <w:bottom w:val="nil"/>
              <w:right w:val="nil"/>
            </w:tcBorders>
            <w:noWrap/>
            <w:vAlign w:val="center"/>
            <w:hideMark/>
          </w:tcPr>
          <w:p w14:paraId="2513ABE2" w14:textId="2DE152D1" w:rsidR="00F2011C" w:rsidRPr="000E005D" w:rsidRDefault="00F2011C" w:rsidP="00F2011C">
            <w:pPr>
              <w:spacing w:after="120" w:line="240" w:lineRule="auto"/>
              <w:jc w:val="left"/>
            </w:pPr>
            <w:r w:rsidRPr="000E005D">
              <w:t>R-squared</w:t>
            </w:r>
          </w:p>
        </w:tc>
        <w:tc>
          <w:tcPr>
            <w:tcW w:w="1440" w:type="dxa"/>
            <w:tcBorders>
              <w:top w:val="nil"/>
              <w:left w:val="nil"/>
              <w:bottom w:val="nil"/>
              <w:right w:val="nil"/>
            </w:tcBorders>
            <w:noWrap/>
            <w:vAlign w:val="center"/>
            <w:hideMark/>
          </w:tcPr>
          <w:p w14:paraId="7EB5CDE0" w14:textId="7400BE4E" w:rsidR="00F2011C" w:rsidRPr="000E005D" w:rsidRDefault="00F2011C" w:rsidP="00F2011C">
            <w:pPr>
              <w:spacing w:after="120" w:line="240" w:lineRule="auto"/>
              <w:jc w:val="left"/>
            </w:pPr>
            <w:r>
              <w:t>0.268</w:t>
            </w:r>
          </w:p>
        </w:tc>
        <w:tc>
          <w:tcPr>
            <w:tcW w:w="1530" w:type="dxa"/>
            <w:tcBorders>
              <w:top w:val="nil"/>
              <w:left w:val="nil"/>
              <w:bottom w:val="nil"/>
              <w:right w:val="nil"/>
            </w:tcBorders>
            <w:noWrap/>
            <w:vAlign w:val="center"/>
            <w:hideMark/>
          </w:tcPr>
          <w:p w14:paraId="1FA7F3E0" w14:textId="011D11FC" w:rsidR="00F2011C" w:rsidRPr="000E005D" w:rsidRDefault="00F2011C" w:rsidP="00F2011C">
            <w:pPr>
              <w:spacing w:after="120" w:line="240" w:lineRule="auto"/>
              <w:jc w:val="left"/>
            </w:pPr>
            <w:r>
              <w:t>0.269</w:t>
            </w:r>
          </w:p>
        </w:tc>
        <w:tc>
          <w:tcPr>
            <w:tcW w:w="1440" w:type="dxa"/>
            <w:tcBorders>
              <w:top w:val="nil"/>
              <w:left w:val="nil"/>
              <w:bottom w:val="nil"/>
              <w:right w:val="nil"/>
            </w:tcBorders>
            <w:noWrap/>
            <w:vAlign w:val="center"/>
            <w:hideMark/>
          </w:tcPr>
          <w:p w14:paraId="0943A8A0" w14:textId="0012D8D9" w:rsidR="00F2011C" w:rsidRPr="000E005D" w:rsidRDefault="00F2011C" w:rsidP="00F2011C">
            <w:pPr>
              <w:spacing w:after="120" w:line="240" w:lineRule="auto"/>
              <w:jc w:val="left"/>
            </w:pPr>
            <w:r>
              <w:t>0.267</w:t>
            </w:r>
          </w:p>
        </w:tc>
        <w:tc>
          <w:tcPr>
            <w:tcW w:w="1530" w:type="dxa"/>
            <w:tcBorders>
              <w:top w:val="nil"/>
              <w:left w:val="nil"/>
              <w:bottom w:val="nil"/>
              <w:right w:val="nil"/>
            </w:tcBorders>
            <w:noWrap/>
            <w:vAlign w:val="center"/>
            <w:hideMark/>
          </w:tcPr>
          <w:p w14:paraId="03A8CA36" w14:textId="4E33F9BD" w:rsidR="00F2011C" w:rsidRPr="000E005D" w:rsidRDefault="00F2011C" w:rsidP="00F2011C">
            <w:pPr>
              <w:spacing w:after="120" w:line="240" w:lineRule="auto"/>
              <w:jc w:val="left"/>
            </w:pPr>
            <w:r>
              <w:t>0.264</w:t>
            </w:r>
          </w:p>
        </w:tc>
        <w:tc>
          <w:tcPr>
            <w:tcW w:w="1530" w:type="dxa"/>
            <w:tcBorders>
              <w:top w:val="nil"/>
              <w:left w:val="nil"/>
              <w:bottom w:val="nil"/>
              <w:right w:val="nil"/>
            </w:tcBorders>
            <w:noWrap/>
            <w:vAlign w:val="center"/>
            <w:hideMark/>
          </w:tcPr>
          <w:p w14:paraId="7D62230D" w14:textId="229C7909" w:rsidR="00F2011C" w:rsidRPr="000E005D" w:rsidRDefault="00F2011C" w:rsidP="00F2011C">
            <w:pPr>
              <w:spacing w:after="120" w:line="240" w:lineRule="auto"/>
              <w:jc w:val="left"/>
            </w:pPr>
            <w:r>
              <w:t>0.264</w:t>
            </w:r>
          </w:p>
        </w:tc>
        <w:tc>
          <w:tcPr>
            <w:tcW w:w="1440" w:type="dxa"/>
            <w:tcBorders>
              <w:top w:val="nil"/>
              <w:left w:val="nil"/>
              <w:bottom w:val="nil"/>
              <w:right w:val="nil"/>
            </w:tcBorders>
            <w:noWrap/>
            <w:vAlign w:val="center"/>
            <w:hideMark/>
          </w:tcPr>
          <w:p w14:paraId="38E794B9" w14:textId="01666998" w:rsidR="00F2011C" w:rsidRPr="000E005D" w:rsidRDefault="00F2011C" w:rsidP="00F2011C">
            <w:pPr>
              <w:spacing w:after="120" w:line="240" w:lineRule="auto"/>
              <w:jc w:val="left"/>
            </w:pPr>
            <w:r>
              <w:t>0.262</w:t>
            </w:r>
          </w:p>
        </w:tc>
      </w:tr>
      <w:tr w:rsidR="00F2011C" w:rsidRPr="000E005D" w14:paraId="6414FADB" w14:textId="77777777" w:rsidTr="000E005D">
        <w:trPr>
          <w:trHeight w:val="20"/>
        </w:trPr>
        <w:tc>
          <w:tcPr>
            <w:tcW w:w="3690" w:type="dxa"/>
            <w:tcBorders>
              <w:top w:val="nil"/>
              <w:left w:val="nil"/>
              <w:bottom w:val="nil"/>
              <w:right w:val="nil"/>
            </w:tcBorders>
            <w:noWrap/>
            <w:vAlign w:val="center"/>
            <w:hideMark/>
          </w:tcPr>
          <w:p w14:paraId="0D28E1E7" w14:textId="4E70B8E4" w:rsidR="00F2011C" w:rsidRPr="000E005D" w:rsidRDefault="00F2011C" w:rsidP="00F2011C">
            <w:pPr>
              <w:spacing w:after="120" w:line="240" w:lineRule="auto"/>
              <w:jc w:val="left"/>
            </w:pPr>
            <w:r w:rsidRPr="000E005D">
              <w:t>Test for no degree-day fixed effect</w:t>
            </w:r>
          </w:p>
        </w:tc>
        <w:tc>
          <w:tcPr>
            <w:tcW w:w="1440" w:type="dxa"/>
            <w:tcBorders>
              <w:top w:val="nil"/>
              <w:left w:val="nil"/>
              <w:bottom w:val="nil"/>
              <w:right w:val="nil"/>
            </w:tcBorders>
            <w:noWrap/>
            <w:vAlign w:val="center"/>
            <w:hideMark/>
          </w:tcPr>
          <w:p w14:paraId="746F0BD8" w14:textId="4553D583" w:rsidR="00F2011C" w:rsidRPr="000E005D" w:rsidRDefault="00F2011C" w:rsidP="00F2011C">
            <w:pPr>
              <w:spacing w:after="120" w:line="240" w:lineRule="auto"/>
              <w:jc w:val="left"/>
            </w:pPr>
            <w:r>
              <w:t>110.511***</w:t>
            </w:r>
          </w:p>
        </w:tc>
        <w:tc>
          <w:tcPr>
            <w:tcW w:w="1530" w:type="dxa"/>
            <w:tcBorders>
              <w:top w:val="nil"/>
              <w:left w:val="nil"/>
              <w:bottom w:val="nil"/>
              <w:right w:val="nil"/>
            </w:tcBorders>
            <w:noWrap/>
            <w:vAlign w:val="center"/>
            <w:hideMark/>
          </w:tcPr>
          <w:p w14:paraId="63264EC2" w14:textId="068156AA" w:rsidR="00F2011C" w:rsidRPr="000E005D" w:rsidRDefault="00F2011C" w:rsidP="00F2011C">
            <w:pPr>
              <w:spacing w:after="120" w:line="240" w:lineRule="auto"/>
              <w:jc w:val="left"/>
            </w:pPr>
            <w:r>
              <w:t>109.695***</w:t>
            </w:r>
          </w:p>
        </w:tc>
        <w:tc>
          <w:tcPr>
            <w:tcW w:w="1440" w:type="dxa"/>
            <w:tcBorders>
              <w:top w:val="nil"/>
              <w:left w:val="nil"/>
              <w:bottom w:val="nil"/>
              <w:right w:val="nil"/>
            </w:tcBorders>
            <w:noWrap/>
            <w:vAlign w:val="center"/>
            <w:hideMark/>
          </w:tcPr>
          <w:p w14:paraId="4FA85AE4" w14:textId="61E6AE69" w:rsidR="00F2011C" w:rsidRPr="000E005D" w:rsidRDefault="00F2011C" w:rsidP="00F2011C">
            <w:pPr>
              <w:spacing w:after="120" w:line="240" w:lineRule="auto"/>
              <w:jc w:val="left"/>
            </w:pPr>
            <w:r>
              <w:t>101.762***</w:t>
            </w:r>
          </w:p>
        </w:tc>
        <w:tc>
          <w:tcPr>
            <w:tcW w:w="1530" w:type="dxa"/>
            <w:tcBorders>
              <w:top w:val="nil"/>
              <w:left w:val="nil"/>
              <w:bottom w:val="nil"/>
              <w:right w:val="nil"/>
            </w:tcBorders>
            <w:noWrap/>
            <w:vAlign w:val="center"/>
            <w:hideMark/>
          </w:tcPr>
          <w:p w14:paraId="08B3C4AF" w14:textId="3446D1B1" w:rsidR="00F2011C" w:rsidRPr="000E005D" w:rsidRDefault="00F2011C" w:rsidP="00F2011C">
            <w:pPr>
              <w:spacing w:after="120" w:line="240" w:lineRule="auto"/>
              <w:jc w:val="left"/>
            </w:pPr>
            <w:r>
              <w:t>106.010***</w:t>
            </w:r>
          </w:p>
        </w:tc>
        <w:tc>
          <w:tcPr>
            <w:tcW w:w="1530" w:type="dxa"/>
            <w:tcBorders>
              <w:top w:val="nil"/>
              <w:left w:val="nil"/>
              <w:bottom w:val="nil"/>
              <w:right w:val="nil"/>
            </w:tcBorders>
            <w:noWrap/>
            <w:vAlign w:val="center"/>
            <w:hideMark/>
          </w:tcPr>
          <w:p w14:paraId="738D179B" w14:textId="0F8ABDAA" w:rsidR="00F2011C" w:rsidRPr="000E005D" w:rsidRDefault="00F2011C" w:rsidP="00F2011C">
            <w:pPr>
              <w:spacing w:after="120" w:line="240" w:lineRule="auto"/>
              <w:jc w:val="left"/>
            </w:pPr>
            <w:r>
              <w:t>110.461***</w:t>
            </w:r>
          </w:p>
        </w:tc>
        <w:tc>
          <w:tcPr>
            <w:tcW w:w="1440" w:type="dxa"/>
            <w:tcBorders>
              <w:top w:val="nil"/>
              <w:left w:val="nil"/>
              <w:bottom w:val="nil"/>
              <w:right w:val="nil"/>
            </w:tcBorders>
            <w:noWrap/>
            <w:vAlign w:val="center"/>
            <w:hideMark/>
          </w:tcPr>
          <w:p w14:paraId="06CF91B2" w14:textId="47CEA552" w:rsidR="00F2011C" w:rsidRPr="000E005D" w:rsidRDefault="00F2011C" w:rsidP="00F2011C">
            <w:pPr>
              <w:spacing w:after="120" w:line="240" w:lineRule="auto"/>
              <w:jc w:val="left"/>
            </w:pPr>
            <w:r>
              <w:t>122.515***</w:t>
            </w:r>
          </w:p>
        </w:tc>
      </w:tr>
      <w:tr w:rsidR="00F2011C" w:rsidRPr="000E005D" w14:paraId="57576165" w14:textId="77777777" w:rsidTr="000E005D">
        <w:trPr>
          <w:trHeight w:val="20"/>
        </w:trPr>
        <w:tc>
          <w:tcPr>
            <w:tcW w:w="3690" w:type="dxa"/>
            <w:tcBorders>
              <w:top w:val="nil"/>
              <w:left w:val="nil"/>
              <w:bottom w:val="nil"/>
              <w:right w:val="nil"/>
            </w:tcBorders>
            <w:noWrap/>
            <w:vAlign w:val="center"/>
            <w:hideMark/>
          </w:tcPr>
          <w:p w14:paraId="13E88F4F" w14:textId="043EC1A8" w:rsidR="00F2011C" w:rsidRPr="000E005D" w:rsidRDefault="00F2011C" w:rsidP="00F2011C">
            <w:pPr>
              <w:spacing w:after="120" w:line="240" w:lineRule="auto"/>
              <w:jc w:val="left"/>
            </w:pPr>
            <w:r w:rsidRPr="000E005D">
              <w:t>Test for no precipitation effect</w:t>
            </w:r>
          </w:p>
        </w:tc>
        <w:tc>
          <w:tcPr>
            <w:tcW w:w="1440" w:type="dxa"/>
            <w:tcBorders>
              <w:top w:val="nil"/>
              <w:left w:val="nil"/>
              <w:bottom w:val="nil"/>
              <w:right w:val="nil"/>
            </w:tcBorders>
            <w:noWrap/>
            <w:vAlign w:val="center"/>
            <w:hideMark/>
          </w:tcPr>
          <w:p w14:paraId="5BCE84D1" w14:textId="3BCE078C" w:rsidR="00F2011C" w:rsidRPr="000E005D" w:rsidRDefault="00F2011C" w:rsidP="00F2011C">
            <w:pPr>
              <w:spacing w:after="120" w:line="240" w:lineRule="auto"/>
              <w:jc w:val="left"/>
            </w:pPr>
            <w:r>
              <w:t>60.577***</w:t>
            </w:r>
          </w:p>
        </w:tc>
        <w:tc>
          <w:tcPr>
            <w:tcW w:w="1530" w:type="dxa"/>
            <w:tcBorders>
              <w:top w:val="nil"/>
              <w:left w:val="nil"/>
              <w:bottom w:val="nil"/>
              <w:right w:val="nil"/>
            </w:tcBorders>
            <w:noWrap/>
            <w:vAlign w:val="center"/>
            <w:hideMark/>
          </w:tcPr>
          <w:p w14:paraId="1CCA2BD5" w14:textId="43FAD1A8" w:rsidR="00F2011C" w:rsidRPr="000E005D" w:rsidRDefault="00F2011C" w:rsidP="00F2011C">
            <w:pPr>
              <w:spacing w:after="120" w:line="240" w:lineRule="auto"/>
              <w:jc w:val="left"/>
            </w:pPr>
            <w:r>
              <w:t>55.795***</w:t>
            </w:r>
          </w:p>
        </w:tc>
        <w:tc>
          <w:tcPr>
            <w:tcW w:w="1440" w:type="dxa"/>
            <w:tcBorders>
              <w:top w:val="nil"/>
              <w:left w:val="nil"/>
              <w:bottom w:val="nil"/>
              <w:right w:val="nil"/>
            </w:tcBorders>
            <w:noWrap/>
            <w:vAlign w:val="center"/>
            <w:hideMark/>
          </w:tcPr>
          <w:p w14:paraId="13003F0E" w14:textId="199BD27C" w:rsidR="00F2011C" w:rsidRPr="000E005D" w:rsidRDefault="00F2011C" w:rsidP="00F2011C">
            <w:pPr>
              <w:spacing w:after="120" w:line="240" w:lineRule="auto"/>
              <w:jc w:val="left"/>
            </w:pPr>
            <w:r>
              <w:t>45.891***</w:t>
            </w:r>
          </w:p>
        </w:tc>
        <w:tc>
          <w:tcPr>
            <w:tcW w:w="1530" w:type="dxa"/>
            <w:tcBorders>
              <w:top w:val="nil"/>
              <w:left w:val="nil"/>
              <w:bottom w:val="nil"/>
              <w:right w:val="nil"/>
            </w:tcBorders>
            <w:noWrap/>
            <w:vAlign w:val="center"/>
            <w:hideMark/>
          </w:tcPr>
          <w:p w14:paraId="0B7FCA2A" w14:textId="7197E1EC" w:rsidR="00F2011C" w:rsidRPr="000E005D" w:rsidRDefault="00F2011C" w:rsidP="00F2011C">
            <w:pPr>
              <w:spacing w:after="120" w:line="240" w:lineRule="auto"/>
              <w:jc w:val="left"/>
            </w:pPr>
            <w:r>
              <w:t>34.394***</w:t>
            </w:r>
          </w:p>
        </w:tc>
        <w:tc>
          <w:tcPr>
            <w:tcW w:w="1530" w:type="dxa"/>
            <w:tcBorders>
              <w:top w:val="nil"/>
              <w:left w:val="nil"/>
              <w:bottom w:val="nil"/>
              <w:right w:val="nil"/>
            </w:tcBorders>
            <w:noWrap/>
            <w:vAlign w:val="center"/>
            <w:hideMark/>
          </w:tcPr>
          <w:p w14:paraId="407B6B13" w14:textId="569D4102" w:rsidR="00F2011C" w:rsidRPr="000E005D" w:rsidRDefault="00F2011C" w:rsidP="00F2011C">
            <w:pPr>
              <w:spacing w:after="120" w:line="240" w:lineRule="auto"/>
              <w:jc w:val="left"/>
            </w:pPr>
            <w:r>
              <w:t>30.411***</w:t>
            </w:r>
          </w:p>
        </w:tc>
        <w:tc>
          <w:tcPr>
            <w:tcW w:w="1440" w:type="dxa"/>
            <w:tcBorders>
              <w:top w:val="nil"/>
              <w:left w:val="nil"/>
              <w:bottom w:val="nil"/>
              <w:right w:val="nil"/>
            </w:tcBorders>
            <w:noWrap/>
            <w:vAlign w:val="center"/>
            <w:hideMark/>
          </w:tcPr>
          <w:p w14:paraId="59C78C1F" w14:textId="7FE7D678" w:rsidR="00F2011C" w:rsidRPr="000E005D" w:rsidRDefault="00F2011C" w:rsidP="00F2011C">
            <w:pPr>
              <w:spacing w:after="120" w:line="240" w:lineRule="auto"/>
              <w:jc w:val="left"/>
            </w:pPr>
            <w:r>
              <w:t>27.352***</w:t>
            </w:r>
          </w:p>
        </w:tc>
      </w:tr>
      <w:tr w:rsidR="00F2011C" w:rsidRPr="000E005D" w14:paraId="615E66CB" w14:textId="77777777" w:rsidTr="000E005D">
        <w:trPr>
          <w:trHeight w:val="20"/>
        </w:trPr>
        <w:tc>
          <w:tcPr>
            <w:tcW w:w="3690" w:type="dxa"/>
            <w:tcBorders>
              <w:top w:val="nil"/>
              <w:left w:val="nil"/>
              <w:bottom w:val="nil"/>
              <w:right w:val="nil"/>
            </w:tcBorders>
            <w:noWrap/>
            <w:vAlign w:val="center"/>
            <w:hideMark/>
          </w:tcPr>
          <w:p w14:paraId="4E403B41" w14:textId="6101C98F" w:rsidR="00F2011C" w:rsidRPr="000E005D" w:rsidRDefault="00F2011C" w:rsidP="00F2011C">
            <w:pPr>
              <w:spacing w:after="120" w:line="240" w:lineRule="auto"/>
              <w:jc w:val="left"/>
            </w:pPr>
            <w:r w:rsidRPr="000E005D">
              <w:t>Test for no weather effect</w:t>
            </w:r>
          </w:p>
        </w:tc>
        <w:tc>
          <w:tcPr>
            <w:tcW w:w="1440" w:type="dxa"/>
            <w:tcBorders>
              <w:top w:val="nil"/>
              <w:left w:val="nil"/>
              <w:bottom w:val="nil"/>
              <w:right w:val="nil"/>
            </w:tcBorders>
            <w:noWrap/>
            <w:vAlign w:val="center"/>
            <w:hideMark/>
          </w:tcPr>
          <w:p w14:paraId="112E051B" w14:textId="4D0D0BCB" w:rsidR="00F2011C" w:rsidRPr="000E005D" w:rsidRDefault="00F2011C" w:rsidP="00F2011C">
            <w:pPr>
              <w:spacing w:after="120" w:line="240" w:lineRule="auto"/>
              <w:jc w:val="left"/>
            </w:pPr>
            <w:r>
              <w:t>221.702***</w:t>
            </w:r>
          </w:p>
        </w:tc>
        <w:tc>
          <w:tcPr>
            <w:tcW w:w="1530" w:type="dxa"/>
            <w:tcBorders>
              <w:top w:val="nil"/>
              <w:left w:val="nil"/>
              <w:bottom w:val="nil"/>
              <w:right w:val="nil"/>
            </w:tcBorders>
            <w:noWrap/>
            <w:vAlign w:val="center"/>
            <w:hideMark/>
          </w:tcPr>
          <w:p w14:paraId="2D86A424" w14:textId="3A340EA6" w:rsidR="00F2011C" w:rsidRPr="000E005D" w:rsidRDefault="00F2011C" w:rsidP="00F2011C">
            <w:pPr>
              <w:spacing w:after="120" w:line="240" w:lineRule="auto"/>
              <w:jc w:val="left"/>
            </w:pPr>
            <w:r>
              <w:t>225.135***</w:t>
            </w:r>
          </w:p>
        </w:tc>
        <w:tc>
          <w:tcPr>
            <w:tcW w:w="1440" w:type="dxa"/>
            <w:tcBorders>
              <w:top w:val="nil"/>
              <w:left w:val="nil"/>
              <w:bottom w:val="nil"/>
              <w:right w:val="nil"/>
            </w:tcBorders>
            <w:noWrap/>
            <w:vAlign w:val="center"/>
            <w:hideMark/>
          </w:tcPr>
          <w:p w14:paraId="2153CFEC" w14:textId="24B4ABD2" w:rsidR="00F2011C" w:rsidRPr="000E005D" w:rsidRDefault="00F2011C" w:rsidP="00F2011C">
            <w:pPr>
              <w:spacing w:after="120" w:line="240" w:lineRule="auto"/>
              <w:jc w:val="left"/>
            </w:pPr>
            <w:r>
              <w:t>201.628***</w:t>
            </w:r>
          </w:p>
        </w:tc>
        <w:tc>
          <w:tcPr>
            <w:tcW w:w="1530" w:type="dxa"/>
            <w:tcBorders>
              <w:top w:val="nil"/>
              <w:left w:val="nil"/>
              <w:bottom w:val="nil"/>
              <w:right w:val="nil"/>
            </w:tcBorders>
            <w:noWrap/>
            <w:vAlign w:val="center"/>
            <w:hideMark/>
          </w:tcPr>
          <w:p w14:paraId="275C5838" w14:textId="56F25659" w:rsidR="00F2011C" w:rsidRPr="000E005D" w:rsidRDefault="00F2011C" w:rsidP="00F2011C">
            <w:pPr>
              <w:spacing w:after="120" w:line="240" w:lineRule="auto"/>
              <w:jc w:val="left"/>
            </w:pPr>
            <w:r>
              <w:t>190.920***</w:t>
            </w:r>
          </w:p>
        </w:tc>
        <w:tc>
          <w:tcPr>
            <w:tcW w:w="1530" w:type="dxa"/>
            <w:tcBorders>
              <w:top w:val="nil"/>
              <w:left w:val="nil"/>
              <w:bottom w:val="nil"/>
              <w:right w:val="nil"/>
            </w:tcBorders>
            <w:noWrap/>
            <w:vAlign w:val="center"/>
            <w:hideMark/>
          </w:tcPr>
          <w:p w14:paraId="1CB11AC3" w14:textId="32967053" w:rsidR="00F2011C" w:rsidRPr="000E005D" w:rsidRDefault="00F2011C" w:rsidP="00F2011C">
            <w:pPr>
              <w:spacing w:after="120" w:line="240" w:lineRule="auto"/>
              <w:jc w:val="left"/>
            </w:pPr>
            <w:r>
              <w:t>177.994***</w:t>
            </w:r>
          </w:p>
        </w:tc>
        <w:tc>
          <w:tcPr>
            <w:tcW w:w="1440" w:type="dxa"/>
            <w:tcBorders>
              <w:top w:val="nil"/>
              <w:left w:val="nil"/>
              <w:bottom w:val="nil"/>
              <w:right w:val="nil"/>
            </w:tcBorders>
            <w:noWrap/>
            <w:vAlign w:val="center"/>
            <w:hideMark/>
          </w:tcPr>
          <w:p w14:paraId="515C6A14" w14:textId="0B236CAD" w:rsidR="00F2011C" w:rsidRPr="000E005D" w:rsidRDefault="00F2011C" w:rsidP="00F2011C">
            <w:pPr>
              <w:spacing w:after="120" w:line="240" w:lineRule="auto"/>
              <w:jc w:val="left"/>
            </w:pPr>
            <w:r>
              <w:t>200.425***</w:t>
            </w:r>
          </w:p>
        </w:tc>
      </w:tr>
      <w:tr w:rsidR="00F2011C" w:rsidRPr="000E005D" w14:paraId="59A623C5" w14:textId="77777777" w:rsidTr="000E005D">
        <w:trPr>
          <w:trHeight w:val="20"/>
        </w:trPr>
        <w:tc>
          <w:tcPr>
            <w:tcW w:w="3690" w:type="dxa"/>
            <w:tcBorders>
              <w:top w:val="nil"/>
              <w:left w:val="nil"/>
              <w:bottom w:val="single" w:sz="4" w:space="0" w:color="auto"/>
              <w:right w:val="nil"/>
            </w:tcBorders>
            <w:noWrap/>
            <w:vAlign w:val="center"/>
            <w:hideMark/>
          </w:tcPr>
          <w:p w14:paraId="7D9A584D" w14:textId="1FA5E518" w:rsidR="00F2011C" w:rsidRPr="000E005D" w:rsidRDefault="00F2011C" w:rsidP="00F2011C">
            <w:pPr>
              <w:spacing w:after="120" w:line="240" w:lineRule="auto"/>
              <w:jc w:val="left"/>
            </w:pPr>
            <w:r w:rsidRPr="000E005D">
              <w:t xml:space="preserve">Test for no county fixed effect </w:t>
            </w:r>
          </w:p>
        </w:tc>
        <w:tc>
          <w:tcPr>
            <w:tcW w:w="1440" w:type="dxa"/>
            <w:tcBorders>
              <w:top w:val="nil"/>
              <w:left w:val="nil"/>
              <w:bottom w:val="single" w:sz="4" w:space="0" w:color="auto"/>
              <w:right w:val="nil"/>
            </w:tcBorders>
            <w:noWrap/>
            <w:vAlign w:val="center"/>
            <w:hideMark/>
          </w:tcPr>
          <w:p w14:paraId="253A8B05" w14:textId="2DA0EB7F" w:rsidR="00F2011C" w:rsidRPr="000E005D" w:rsidRDefault="00F2011C" w:rsidP="00F2011C">
            <w:pPr>
              <w:spacing w:after="120" w:line="240" w:lineRule="auto"/>
              <w:jc w:val="left"/>
            </w:pPr>
            <w:r>
              <w:t>536.226***</w:t>
            </w:r>
          </w:p>
        </w:tc>
        <w:tc>
          <w:tcPr>
            <w:tcW w:w="1530" w:type="dxa"/>
            <w:tcBorders>
              <w:top w:val="nil"/>
              <w:left w:val="nil"/>
              <w:bottom w:val="single" w:sz="4" w:space="0" w:color="auto"/>
              <w:right w:val="nil"/>
            </w:tcBorders>
            <w:noWrap/>
            <w:vAlign w:val="center"/>
            <w:hideMark/>
          </w:tcPr>
          <w:p w14:paraId="51F3FAD5" w14:textId="275504DF" w:rsidR="00F2011C" w:rsidRPr="000E005D" w:rsidRDefault="00F2011C" w:rsidP="00F2011C">
            <w:pPr>
              <w:spacing w:after="120" w:line="240" w:lineRule="auto"/>
              <w:jc w:val="left"/>
            </w:pPr>
            <w:r>
              <w:t>531.993***</w:t>
            </w:r>
          </w:p>
        </w:tc>
        <w:tc>
          <w:tcPr>
            <w:tcW w:w="1440" w:type="dxa"/>
            <w:tcBorders>
              <w:top w:val="nil"/>
              <w:left w:val="nil"/>
              <w:bottom w:val="single" w:sz="4" w:space="0" w:color="auto"/>
              <w:right w:val="nil"/>
            </w:tcBorders>
            <w:noWrap/>
            <w:vAlign w:val="center"/>
            <w:hideMark/>
          </w:tcPr>
          <w:p w14:paraId="17EAAA2D" w14:textId="7AAB9628" w:rsidR="00F2011C" w:rsidRPr="000E005D" w:rsidRDefault="00F2011C" w:rsidP="00F2011C">
            <w:pPr>
              <w:spacing w:after="120" w:line="240" w:lineRule="auto"/>
              <w:jc w:val="left"/>
            </w:pPr>
            <w:r>
              <w:t>530.493***</w:t>
            </w:r>
          </w:p>
        </w:tc>
        <w:tc>
          <w:tcPr>
            <w:tcW w:w="1530" w:type="dxa"/>
            <w:tcBorders>
              <w:top w:val="nil"/>
              <w:left w:val="nil"/>
              <w:bottom w:val="single" w:sz="4" w:space="0" w:color="auto"/>
              <w:right w:val="nil"/>
            </w:tcBorders>
            <w:noWrap/>
            <w:vAlign w:val="center"/>
            <w:hideMark/>
          </w:tcPr>
          <w:p w14:paraId="208F504C" w14:textId="2B9605E8" w:rsidR="00F2011C" w:rsidRPr="000E005D" w:rsidRDefault="00F2011C" w:rsidP="00F2011C">
            <w:pPr>
              <w:spacing w:after="120" w:line="240" w:lineRule="auto"/>
              <w:jc w:val="left"/>
            </w:pPr>
            <w:r>
              <w:t>526.213***</w:t>
            </w:r>
          </w:p>
        </w:tc>
        <w:tc>
          <w:tcPr>
            <w:tcW w:w="1530" w:type="dxa"/>
            <w:tcBorders>
              <w:top w:val="nil"/>
              <w:left w:val="nil"/>
              <w:bottom w:val="single" w:sz="4" w:space="0" w:color="auto"/>
              <w:right w:val="nil"/>
            </w:tcBorders>
            <w:noWrap/>
            <w:vAlign w:val="center"/>
            <w:hideMark/>
          </w:tcPr>
          <w:p w14:paraId="3508462E" w14:textId="40C2FBA7" w:rsidR="00F2011C" w:rsidRPr="000E005D" w:rsidRDefault="00F2011C" w:rsidP="00F2011C">
            <w:pPr>
              <w:spacing w:after="120" w:line="240" w:lineRule="auto"/>
              <w:jc w:val="left"/>
            </w:pPr>
            <w:r>
              <w:t>523.865***</w:t>
            </w:r>
          </w:p>
        </w:tc>
        <w:tc>
          <w:tcPr>
            <w:tcW w:w="1440" w:type="dxa"/>
            <w:tcBorders>
              <w:top w:val="nil"/>
              <w:left w:val="nil"/>
              <w:bottom w:val="single" w:sz="4" w:space="0" w:color="auto"/>
              <w:right w:val="nil"/>
            </w:tcBorders>
            <w:noWrap/>
            <w:vAlign w:val="center"/>
            <w:hideMark/>
          </w:tcPr>
          <w:p w14:paraId="197932FF" w14:textId="26D6B36E" w:rsidR="00F2011C" w:rsidRPr="000E005D" w:rsidRDefault="00F2011C" w:rsidP="00F2011C">
            <w:pPr>
              <w:spacing w:after="120" w:line="240" w:lineRule="auto"/>
              <w:jc w:val="left"/>
            </w:pPr>
            <w:r>
              <w:t>521.136***</w:t>
            </w:r>
          </w:p>
        </w:tc>
      </w:tr>
    </w:tbl>
    <w:p w14:paraId="14E8C07B" w14:textId="77777777" w:rsidR="00A53F6F" w:rsidRPr="000E005D" w:rsidRDefault="00AA026F" w:rsidP="00E522AD">
      <w:pPr>
        <w:spacing w:before="120" w:after="0" w:line="240" w:lineRule="auto"/>
      </w:pPr>
      <w:r w:rsidRPr="000E005D">
        <w:t xml:space="preserve">The preferred model is ††. </w:t>
      </w:r>
      <w:r w:rsidR="00F53B92" w:rsidRPr="000E005D">
        <w:t>Significance levels: * p&lt;0.10, ** p&lt;0.05, ***p&lt;0.01</w:t>
      </w:r>
      <w:r w:rsidR="00E522AD" w:rsidRPr="000E005D">
        <w:t xml:space="preserve">. </w:t>
      </w:r>
      <w:r w:rsidR="00264852" w:rsidRPr="000E005D">
        <w:t>Standard errors are in parentheses and clustered at year level.</w:t>
      </w:r>
    </w:p>
    <w:p w14:paraId="15576BC9" w14:textId="77777777" w:rsidR="00366226" w:rsidRDefault="00366226" w:rsidP="00E522AD">
      <w:pPr>
        <w:spacing w:before="120" w:after="0" w:line="240" w:lineRule="auto"/>
        <w:rPr>
          <w:sz w:val="22"/>
          <w:szCs w:val="22"/>
        </w:rPr>
      </w:pPr>
    </w:p>
    <w:p w14:paraId="0B7CD5E2" w14:textId="77777777" w:rsidR="00366226" w:rsidRDefault="00366226" w:rsidP="00E522AD">
      <w:pPr>
        <w:spacing w:before="120" w:after="0" w:line="240" w:lineRule="auto"/>
        <w:rPr>
          <w:sz w:val="22"/>
          <w:szCs w:val="22"/>
        </w:rPr>
        <w:sectPr w:rsidR="00366226" w:rsidSect="0069270C">
          <w:pgSz w:w="15840" w:h="12240" w:orient="landscape"/>
          <w:pgMar w:top="1440" w:right="1440" w:bottom="1440" w:left="1440" w:header="720" w:footer="720" w:gutter="0"/>
          <w:cols w:space="720"/>
          <w:docGrid w:linePitch="360"/>
        </w:sectPr>
      </w:pPr>
    </w:p>
    <w:p w14:paraId="4281CF55" w14:textId="114AB002" w:rsidR="00A53F6F" w:rsidRDefault="00A53F6F" w:rsidP="00E408A0">
      <w:pPr>
        <w:pStyle w:val="Heading4"/>
        <w:rPr>
          <w:noProof/>
        </w:rPr>
      </w:pPr>
      <w:r w:rsidRPr="00C47481">
        <w:rPr>
          <w:noProof/>
        </w:rPr>
        <w:lastRenderedPageBreak/>
        <w:t xml:space="preserve">Figure </w:t>
      </w:r>
      <w:r>
        <w:rPr>
          <w:noProof/>
        </w:rPr>
        <w:t>1</w:t>
      </w:r>
      <w:r w:rsidRPr="00C47481">
        <w:rPr>
          <w:noProof/>
        </w:rPr>
        <w:t xml:space="preserve">. Distribution of </w:t>
      </w:r>
      <w:r>
        <w:rPr>
          <w:noProof/>
        </w:rPr>
        <w:t>Regression Variables</w:t>
      </w:r>
    </w:p>
    <w:p w14:paraId="37DF8F3B" w14:textId="10DC7854" w:rsidR="00A53F6F" w:rsidRDefault="00F673AB" w:rsidP="00E408A0">
      <w:r>
        <w:rPr>
          <w:noProof/>
        </w:rPr>
        <w:drawing>
          <wp:inline distT="0" distB="0" distL="0" distR="0" wp14:anchorId="7500E98E" wp14:editId="7A8E86E4">
            <wp:extent cx="5943600" cy="7612912"/>
            <wp:effectExtent l="0" t="0" r="0" b="7620"/>
            <wp:docPr id="83507384" name="Picture 2" descr="The image displays various climate data charts over time, showing trends in crop yield, temperature, precipitation, and degree-days across different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7384" name="Picture 2" descr="The image displays various climate data charts over time, showing trends in crop yield, temperature, precipitation, and degree-days across different years.&#10;&#10;AI-generated content may be incorrect."/>
                    <pic:cNvPicPr/>
                  </pic:nvPicPr>
                  <pic:blipFill rotWithShape="1">
                    <a:blip r:embed="rId16" cstate="print">
                      <a:extLst>
                        <a:ext uri="{28A0092B-C50C-407E-A947-70E740481C1C}">
                          <a14:useLocalDpi xmlns:a14="http://schemas.microsoft.com/office/drawing/2010/main" val="0"/>
                        </a:ext>
                      </a:extLst>
                    </a:blip>
                    <a:srcRect b="6847"/>
                    <a:stretch>
                      <a:fillRect/>
                    </a:stretch>
                  </pic:blipFill>
                  <pic:spPr bwMode="auto">
                    <a:xfrm>
                      <a:off x="0" y="0"/>
                      <a:ext cx="5943600" cy="7612912"/>
                    </a:xfrm>
                    <a:prstGeom prst="rect">
                      <a:avLst/>
                    </a:prstGeom>
                    <a:ln>
                      <a:noFill/>
                    </a:ln>
                    <a:extLst>
                      <a:ext uri="{53640926-AAD7-44D8-BBD7-CCE9431645EC}">
                        <a14:shadowObscured xmlns:a14="http://schemas.microsoft.com/office/drawing/2010/main"/>
                      </a:ext>
                    </a:extLst>
                  </pic:spPr>
                </pic:pic>
              </a:graphicData>
            </a:graphic>
          </wp:inline>
        </w:drawing>
      </w:r>
    </w:p>
    <w:p w14:paraId="4CAB36BD" w14:textId="2F6312AD" w:rsidR="00A53F6F" w:rsidRDefault="00A53F6F" w:rsidP="00E408A0">
      <w:pPr>
        <w:sectPr w:rsidR="00A53F6F" w:rsidSect="00A53F6F">
          <w:pgSz w:w="12240" w:h="15840"/>
          <w:pgMar w:top="1440" w:right="1440" w:bottom="1440" w:left="1440" w:header="720" w:footer="720" w:gutter="0"/>
          <w:cols w:space="720"/>
          <w:docGrid w:linePitch="360"/>
        </w:sectPr>
      </w:pPr>
    </w:p>
    <w:p w14:paraId="12CC23FD" w14:textId="545644B1" w:rsidR="009537D7" w:rsidRPr="00C47481" w:rsidRDefault="009537D7" w:rsidP="00E408A0">
      <w:pPr>
        <w:pStyle w:val="Heading4"/>
        <w:rPr>
          <w:noProof/>
        </w:rPr>
      </w:pPr>
      <w:r w:rsidRPr="00C47481">
        <w:rPr>
          <w:noProof/>
        </w:rPr>
        <w:lastRenderedPageBreak/>
        <w:t xml:space="preserve">Figure </w:t>
      </w:r>
      <w:r w:rsidR="00CC12C4">
        <w:rPr>
          <w:noProof/>
        </w:rPr>
        <w:t>2</w:t>
      </w:r>
      <w:r w:rsidRPr="00C47481">
        <w:rPr>
          <w:noProof/>
        </w:rPr>
        <w:t xml:space="preserve">. Alfalfa </w:t>
      </w:r>
      <w:r w:rsidR="00243300" w:rsidRPr="00C47481">
        <w:rPr>
          <w:noProof/>
        </w:rPr>
        <w:t>a</w:t>
      </w:r>
      <w:r w:rsidR="00FC1422" w:rsidRPr="00C47481">
        <w:rPr>
          <w:noProof/>
        </w:rPr>
        <w:t xml:space="preserve">nd Cattle Producing Areas </w:t>
      </w:r>
      <w:r w:rsidR="00243300" w:rsidRPr="00C47481">
        <w:rPr>
          <w:noProof/>
        </w:rPr>
        <w:t>i</w:t>
      </w:r>
      <w:r w:rsidR="00FC1422" w:rsidRPr="00C47481">
        <w:rPr>
          <w:noProof/>
        </w:rPr>
        <w:t xml:space="preserve">n </w:t>
      </w:r>
      <w:r w:rsidR="00243300" w:rsidRPr="00C47481">
        <w:rPr>
          <w:noProof/>
        </w:rPr>
        <w:t>t</w:t>
      </w:r>
      <w:r w:rsidR="00FC1422" w:rsidRPr="00C47481">
        <w:rPr>
          <w:noProof/>
        </w:rPr>
        <w:t xml:space="preserve">he </w:t>
      </w:r>
      <w:r w:rsidRPr="00C47481">
        <w:rPr>
          <w:noProof/>
        </w:rPr>
        <w:t>U</w:t>
      </w:r>
      <w:r w:rsidR="00243300" w:rsidRPr="00C47481">
        <w:rPr>
          <w:noProof/>
        </w:rPr>
        <w:t>.</w:t>
      </w:r>
      <w:r w:rsidRPr="00C47481">
        <w:rPr>
          <w:noProof/>
        </w:rPr>
        <w:t>S</w:t>
      </w:r>
      <w:r w:rsidR="00243300" w:rsidRPr="00C47481">
        <w:rPr>
          <w:noProof/>
        </w:rPr>
        <w:t>.</w:t>
      </w:r>
      <w:r w:rsidRPr="00C47481">
        <w:rPr>
          <w:noProof/>
        </w:rPr>
        <w:t xml:space="preserve"> </w:t>
      </w:r>
      <w:r w:rsidR="00293566" w:rsidRPr="00C47481">
        <w:rPr>
          <w:noProof/>
        </w:rPr>
        <w:t>(</w:t>
      </w:r>
      <w:r w:rsidR="001F5D11">
        <w:rPr>
          <w:noProof/>
        </w:rPr>
        <w:t>2002</w:t>
      </w:r>
      <w:r w:rsidR="00293566" w:rsidRPr="00C47481">
        <w:rPr>
          <w:noProof/>
        </w:rPr>
        <w:t>-</w:t>
      </w:r>
      <w:r w:rsidR="00F8001F">
        <w:rPr>
          <w:noProof/>
        </w:rPr>
        <w:t>2022</w:t>
      </w:r>
      <w:r w:rsidR="00293566" w:rsidRPr="00C47481">
        <w:rPr>
          <w:noProof/>
        </w:rPr>
        <w:t>)</w:t>
      </w:r>
    </w:p>
    <w:p w14:paraId="392E6F36" w14:textId="762B3B2A" w:rsidR="00EA4352" w:rsidRPr="00C47481" w:rsidRDefault="0027027C" w:rsidP="00E408A0">
      <w:pPr>
        <w:rPr>
          <w:noProof/>
        </w:rPr>
      </w:pPr>
      <w:r>
        <w:rPr>
          <w:noProof/>
        </w:rPr>
        <w:drawing>
          <wp:inline distT="0" distB="0" distL="0" distR="0" wp14:anchorId="7389A375" wp14:editId="0BE2FAF9">
            <wp:extent cx="7769679" cy="5438775"/>
            <wp:effectExtent l="0" t="0" r="0" b="0"/>
            <wp:docPr id="407354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54978" name="Picture 4073549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71290" cy="5439903"/>
                    </a:xfrm>
                    <a:prstGeom prst="rect">
                      <a:avLst/>
                    </a:prstGeom>
                  </pic:spPr>
                </pic:pic>
              </a:graphicData>
            </a:graphic>
          </wp:inline>
        </w:drawing>
      </w:r>
    </w:p>
    <w:p w14:paraId="3F958433" w14:textId="77777777" w:rsidR="00506409" w:rsidRPr="00C47481" w:rsidRDefault="00506409" w:rsidP="00E408A0">
      <w:pPr>
        <w:rPr>
          <w:noProof/>
        </w:rPr>
        <w:sectPr w:rsidR="00506409" w:rsidRPr="00C47481" w:rsidSect="00CC3AB9">
          <w:pgSz w:w="15840" w:h="12240" w:orient="landscape"/>
          <w:pgMar w:top="1440" w:right="1440" w:bottom="1440" w:left="1440" w:header="720" w:footer="720" w:gutter="0"/>
          <w:cols w:space="720"/>
          <w:docGrid w:linePitch="360"/>
        </w:sectPr>
      </w:pPr>
    </w:p>
    <w:p w14:paraId="6A2BA90C" w14:textId="2DB4578E" w:rsidR="009537D7" w:rsidRPr="00C47481" w:rsidRDefault="009537D7" w:rsidP="00E408A0">
      <w:pPr>
        <w:pStyle w:val="Heading4"/>
      </w:pPr>
      <w:r w:rsidRPr="00C47481">
        <w:lastRenderedPageBreak/>
        <w:t xml:space="preserve">Figure </w:t>
      </w:r>
      <w:r w:rsidR="002741D2">
        <w:t>3</w:t>
      </w:r>
      <w:r w:rsidRPr="00C47481">
        <w:t>. Nonlinear Relation Between Temperature and U</w:t>
      </w:r>
      <w:r w:rsidR="00243300" w:rsidRPr="00C47481">
        <w:t>.</w:t>
      </w:r>
      <w:r w:rsidRPr="00C47481">
        <w:t>S</w:t>
      </w:r>
      <w:r w:rsidR="00243300" w:rsidRPr="00C47481">
        <w:t>.</w:t>
      </w:r>
      <w:r w:rsidRPr="00C47481">
        <w:t xml:space="preserve"> Alfalfa Yields (1951-</w:t>
      </w:r>
      <w:r w:rsidR="00DA13D5">
        <w:t>2022</w:t>
      </w:r>
      <w:r w:rsidRPr="00C47481">
        <w:t>)</w:t>
      </w:r>
    </w:p>
    <w:p w14:paraId="28011BAF" w14:textId="158ABFFF" w:rsidR="009537D7" w:rsidRPr="00C47481" w:rsidRDefault="0073462E" w:rsidP="00E408A0">
      <w:r>
        <w:rPr>
          <w:noProof/>
        </w:rPr>
        <w:drawing>
          <wp:inline distT="0" distB="0" distL="0" distR="0" wp14:anchorId="06F46219" wp14:editId="3CE7BBF3">
            <wp:extent cx="5943600" cy="6653530"/>
            <wp:effectExtent l="0" t="0" r="0" b="0"/>
            <wp:docPr id="263828807" name="Picture 6" descr="The diagram presents a line graph comparing the log-yield (Mt/ha) of a crop over different months, showing a correlation with temperature exposure (days), and includes a 95% confidence interval for specific data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8807" name="Picture 6" descr="The diagram presents a line graph comparing the log-yield (Mt/ha) of a crop over different months, showing a correlation with temperature exposure (days), and includes a 95% confidence interval for specific data poin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653530"/>
                    </a:xfrm>
                    <a:prstGeom prst="rect">
                      <a:avLst/>
                    </a:prstGeom>
                  </pic:spPr>
                </pic:pic>
              </a:graphicData>
            </a:graphic>
          </wp:inline>
        </w:drawing>
      </w:r>
    </w:p>
    <w:p w14:paraId="4BEC6D28" w14:textId="50F3479A" w:rsidR="00212DBD" w:rsidRPr="00C47481" w:rsidRDefault="00212DBD" w:rsidP="00E408A0"/>
    <w:p w14:paraId="5C8B9205" w14:textId="77777777" w:rsidR="00326C13" w:rsidRDefault="00326C13" w:rsidP="00E408A0">
      <w:pPr>
        <w:sectPr w:rsidR="00326C13" w:rsidSect="00EA30C9">
          <w:pgSz w:w="12240" w:h="15840"/>
          <w:pgMar w:top="1440" w:right="1440" w:bottom="1440" w:left="1440" w:header="720" w:footer="720" w:gutter="0"/>
          <w:cols w:space="720"/>
          <w:docGrid w:linePitch="360"/>
        </w:sectPr>
      </w:pPr>
    </w:p>
    <w:p w14:paraId="1ABB2D08" w14:textId="72ECA4EE" w:rsidR="009537D7" w:rsidRPr="00C47481" w:rsidRDefault="009537D7" w:rsidP="00E408A0">
      <w:pPr>
        <w:pStyle w:val="Heading4"/>
      </w:pPr>
      <w:r w:rsidRPr="00C47481">
        <w:lastRenderedPageBreak/>
        <w:t xml:space="preserve">Figure </w:t>
      </w:r>
      <w:r w:rsidR="002741D2">
        <w:t>4</w:t>
      </w:r>
      <w:r w:rsidRPr="00C47481">
        <w:t xml:space="preserve">. Predicted Impacts </w:t>
      </w:r>
    </w:p>
    <w:p w14:paraId="63D4DC86" w14:textId="1231B74A" w:rsidR="00DA18FB" w:rsidRPr="00C47481" w:rsidRDefault="0073462E" w:rsidP="00E408A0">
      <w:r>
        <w:rPr>
          <w:noProof/>
        </w:rPr>
        <w:drawing>
          <wp:inline distT="0" distB="0" distL="0" distR="0" wp14:anchorId="18515B8A" wp14:editId="5C9E5035">
            <wp:extent cx="5943600" cy="6653530"/>
            <wp:effectExtent l="0" t="0" r="0" b="0"/>
            <wp:docPr id="1848175497" name="Picture 9" descr="The graph shows the estimated percentage decrease in crop yield for alfalfa due to varying degrees of warming (0.5ￂﾰC to 3.0ￂﾰC) over different time windows (1991-2020) and seasons (5-10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75497" name="Picture 9" descr="The graph shows the estimated percentage decrease in crop yield for alfalfa due to varying degrees of warming (0.5ￂﾰC to 3.0ￂﾰC) over different time windows (1991-2020) and seasons (5-10 month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6653530"/>
                    </a:xfrm>
                    <a:prstGeom prst="rect">
                      <a:avLst/>
                    </a:prstGeom>
                  </pic:spPr>
                </pic:pic>
              </a:graphicData>
            </a:graphic>
          </wp:inline>
        </w:drawing>
      </w:r>
    </w:p>
    <w:p w14:paraId="07AB1DE0" w14:textId="781CE72E" w:rsidR="0032053B" w:rsidRDefault="0032053B" w:rsidP="00E408A0">
      <w:pPr>
        <w:sectPr w:rsidR="0032053B" w:rsidSect="00DA18FB">
          <w:pgSz w:w="12240" w:h="15840"/>
          <w:pgMar w:top="1440" w:right="1440" w:bottom="1440" w:left="1440" w:header="720" w:footer="720" w:gutter="0"/>
          <w:cols w:space="720"/>
          <w:docGrid w:linePitch="360"/>
        </w:sectPr>
      </w:pPr>
    </w:p>
    <w:p w14:paraId="352206B9" w14:textId="50091D54" w:rsidR="00E51263" w:rsidRDefault="00E51263" w:rsidP="00E408A0">
      <w:pPr>
        <w:pStyle w:val="Heading4"/>
      </w:pPr>
      <w:r w:rsidRPr="00EE489D">
        <w:lastRenderedPageBreak/>
        <w:t xml:space="preserve">Figure </w:t>
      </w:r>
      <w:r w:rsidR="007263D1">
        <w:t>5</w:t>
      </w:r>
      <w:r w:rsidRPr="00EE489D">
        <w:t xml:space="preserve">. Predicted </w:t>
      </w:r>
      <w:r w:rsidR="001D4609" w:rsidRPr="00EE489D">
        <w:t xml:space="preserve">County Level </w:t>
      </w:r>
      <w:r w:rsidRPr="00EE489D">
        <w:t>Impacts</w:t>
      </w:r>
    </w:p>
    <w:p w14:paraId="71DEA779" w14:textId="4E38E5E1" w:rsidR="007236DD" w:rsidRPr="00C47481" w:rsidRDefault="0073462E" w:rsidP="00E408A0">
      <w:r>
        <w:rPr>
          <w:noProof/>
        </w:rPr>
        <w:drawing>
          <wp:inline distT="0" distB="0" distL="0" distR="0" wp14:anchorId="77D7D588" wp14:editId="510EF807">
            <wp:extent cx="5943600" cy="6653530"/>
            <wp:effectExtent l="0" t="0" r="0" b="0"/>
            <wp:docPr id="2077336943" name="Picture 8" descr="The image is a map of the United States with various shaded regions indicating different temperature changes, ranging from -44.3ￂﾰC to 14.7ￂﾰ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36943" name="Picture 8" descr="The image is a map of the United States with various shaded regions indicating different temperature changes, ranging from -44.3ￂﾰC to 14.7ￂﾰC.&#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653530"/>
                    </a:xfrm>
                    <a:prstGeom prst="rect">
                      <a:avLst/>
                    </a:prstGeom>
                  </pic:spPr>
                </pic:pic>
              </a:graphicData>
            </a:graphic>
          </wp:inline>
        </w:drawing>
      </w:r>
    </w:p>
    <w:sectPr w:rsidR="007236DD" w:rsidRPr="00C47481" w:rsidSect="00EA30C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ker Davis" w:date="2026-05-27T09:15:00Z" w:initials="WD">
    <w:p w14:paraId="34939BC2" w14:textId="77777777" w:rsidR="006345C8" w:rsidRDefault="006345C8" w:rsidP="006345C8">
      <w:pPr>
        <w:pStyle w:val="CommentText"/>
        <w:jc w:val="left"/>
      </w:pPr>
      <w:r>
        <w:rPr>
          <w:rStyle w:val="CommentReference"/>
        </w:rPr>
        <w:annotationRef/>
      </w:r>
      <w:r>
        <w:t>These numbers most likely need to be updated and I do not see where these are pulled from. Just visually you could say ,. Looking at figure 5, that under 3 degree increase puts the majority of the central and southeast US at a decrease of over 22%.</w:t>
      </w:r>
    </w:p>
  </w:comment>
  <w:comment w:id="1" w:author="Walker Davis" w:date="2026-07-10T09:05:00Z" w:initials="WD">
    <w:p w14:paraId="47242FD0" w14:textId="77777777" w:rsidR="00B81578" w:rsidRDefault="00B81578" w:rsidP="00B81578">
      <w:pPr>
        <w:pStyle w:val="CommentText"/>
        <w:jc w:val="left"/>
      </w:pPr>
      <w:r>
        <w:rPr>
          <w:rStyle w:val="CommentReference"/>
        </w:rPr>
        <w:annotationRef/>
      </w:r>
      <w:r>
        <w:t>Will pull from Spatial Impact Yield</w:t>
      </w:r>
    </w:p>
  </w:comment>
  <w:comment w:id="2" w:author="Davis, Walker" w:date="2026-05-26T11:38:00Z" w:initials="WD">
    <w:p w14:paraId="7D34857B" w14:textId="77777777" w:rsidR="00AD55C0" w:rsidRDefault="00AD55C0" w:rsidP="00AD55C0">
      <w:pPr>
        <w:pStyle w:val="CommentText"/>
        <w:jc w:val="left"/>
      </w:pPr>
      <w:r>
        <w:rPr>
          <w:rStyle w:val="CommentReference"/>
        </w:rPr>
        <w:annotationRef/>
      </w:r>
      <w:r>
        <w:t>I may be misunderstanding, but I am reading this as the area * Yield per acre should equal the production, but it doesn’t.</w:t>
      </w:r>
    </w:p>
  </w:comment>
  <w:comment w:id="3" w:author="Walker Davis" w:date="2026-07-10T08:30:00Z" w:initials="WD">
    <w:p w14:paraId="4C6268EC" w14:textId="77777777" w:rsidR="00397AB3" w:rsidRDefault="00397AB3" w:rsidP="00397AB3">
      <w:pPr>
        <w:pStyle w:val="CommentText"/>
        <w:jc w:val="left"/>
      </w:pPr>
      <w:r>
        <w:rPr>
          <w:rStyle w:val="CommentReference"/>
        </w:rPr>
        <w:annotationRef/>
      </w:r>
      <w:r>
        <w:t>Dr. Tsiboe will look into.</w:t>
      </w:r>
    </w:p>
  </w:comment>
  <w:comment w:id="4" w:author="Walker Davis" w:date="2026-05-27T10:16:00Z" w:initials="WD">
    <w:p w14:paraId="5ED40619" w14:textId="77777777" w:rsidR="00F4057E" w:rsidRDefault="00F4057E" w:rsidP="00F4057E">
      <w:pPr>
        <w:pStyle w:val="CommentText"/>
        <w:jc w:val="left"/>
      </w:pPr>
      <w:r>
        <w:rPr>
          <w:rStyle w:val="CommentReference"/>
        </w:rPr>
        <w:annotationRef/>
      </w:r>
      <w:r>
        <w:t>Update needed</w:t>
      </w:r>
    </w:p>
  </w:comment>
  <w:comment w:id="5" w:author="Tsiboe, Francis - REE-ERS" w:date="2024-08-02T11:29:00Z" w:initials="TFRE">
    <w:p w14:paraId="454F060E" w14:textId="77777777" w:rsidR="00AA12C8" w:rsidRDefault="00602082" w:rsidP="00AA12C8">
      <w:pPr>
        <w:pStyle w:val="CommentText"/>
        <w:jc w:val="left"/>
      </w:pPr>
      <w:r>
        <w:rPr>
          <w:rStyle w:val="CommentReference"/>
        </w:rPr>
        <w:annotationRef/>
      </w:r>
      <w:r w:rsidR="00AA12C8">
        <w:t xml:space="preserve">IPCC, 1994: IPCC Technical Guidelines for Assessing Climate Change Impacts and Adaptations. Prepared by Working Group II [Carter, T.R., M.L. Parry, H.Harasawa, and S. Nishioka] and WMO/UNEP. CGER-IO15-’94. University College London, UK and Center for Global Environmental Research, National Institute for Environmental Studies, Tsukuba, Japan, 59 pp </w:t>
      </w:r>
    </w:p>
  </w:comment>
  <w:comment w:id="6" w:author="Tsiboe, Francis - REE-ERS" w:date="2024-08-02T11:31:00Z" w:initials="TFRE">
    <w:p w14:paraId="728C3013" w14:textId="77777777" w:rsidR="005800F5" w:rsidRDefault="00344900" w:rsidP="005800F5">
      <w:pPr>
        <w:pStyle w:val="CommentText"/>
        <w:jc w:val="left"/>
      </w:pPr>
      <w:r>
        <w:rPr>
          <w:rStyle w:val="CommentReference"/>
        </w:rPr>
        <w:annotationRef/>
      </w:r>
      <w:r w:rsidR="005800F5">
        <w:t xml:space="preserve">Karl, T.R., R.W. Knight, D.R. Easterling, and R.G. Quayle, 1996: Indices of climate change for the United States. Bull. Am. Met. Soc., 77, 279- 292 </w:t>
      </w:r>
    </w:p>
    <w:p w14:paraId="071D3CE5" w14:textId="77777777" w:rsidR="005800F5" w:rsidRDefault="005800F5" w:rsidP="005800F5">
      <w:pPr>
        <w:pStyle w:val="CommentText"/>
        <w:jc w:val="left"/>
      </w:pPr>
    </w:p>
    <w:p w14:paraId="401210FC" w14:textId="77777777" w:rsidR="005800F5" w:rsidRDefault="005800F5" w:rsidP="005800F5">
      <w:pPr>
        <w:pStyle w:val="CommentText"/>
        <w:jc w:val="left"/>
      </w:pPr>
      <w:hyperlink r:id="rId1" w:history="1">
        <w:r w:rsidRPr="00A45E0C">
          <w:rPr>
            <w:rStyle w:val="Hyperlink"/>
          </w:rPr>
          <w:t>https://journals.ametsoc.org/view/journals/bams/77/2/1520-0477_1996_077_0279_ioccft_2_0_co_2.xml</w:t>
        </w:r>
      </w:hyperlink>
    </w:p>
  </w:comment>
  <w:comment w:id="7" w:author="Walker Davis" w:date="2026-07-10T09:02:00Z" w:initials="WD">
    <w:p w14:paraId="6B3E66F3" w14:textId="77777777" w:rsidR="008E35E3" w:rsidRDefault="008E35E3" w:rsidP="008E35E3">
      <w:pPr>
        <w:pStyle w:val="CommentText"/>
        <w:jc w:val="left"/>
      </w:pPr>
      <w:r>
        <w:rPr>
          <w:rStyle w:val="CommentReference"/>
        </w:rPr>
        <w:annotationRef/>
      </w:r>
      <w:r>
        <w:t>Needs spatial impact yield.</w:t>
      </w:r>
    </w:p>
  </w:comment>
  <w:comment w:id="8" w:author="Walker Davis" w:date="2026-05-27T16:19:00Z" w:initials="WD">
    <w:p w14:paraId="05CB598D" w14:textId="77777777" w:rsidR="00AA50A4" w:rsidRDefault="00AA50A4" w:rsidP="00AA50A4">
      <w:pPr>
        <w:pStyle w:val="CommentText"/>
        <w:jc w:val="left"/>
      </w:pPr>
      <w:r>
        <w:rPr>
          <w:rStyle w:val="CommentReference"/>
        </w:rPr>
        <w:annotationRef/>
      </w:r>
      <w:r>
        <w:t>Will need values for this</w:t>
      </w:r>
    </w:p>
  </w:comment>
  <w:comment w:id="9" w:author="Walker Davis" w:date="2026-07-10T09:03:00Z" w:initials="WD">
    <w:p w14:paraId="6610E2B0" w14:textId="77777777" w:rsidR="008E35E3" w:rsidRDefault="008E35E3" w:rsidP="008E35E3">
      <w:pPr>
        <w:pStyle w:val="CommentText"/>
        <w:jc w:val="left"/>
      </w:pPr>
      <w:r>
        <w:rPr>
          <w:rStyle w:val="CommentReference"/>
        </w:rPr>
        <w:annotationRef/>
      </w:r>
      <w:r>
        <w:t>Needs spatial impact yield.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39BC2" w15:done="0"/>
  <w15:commentEx w15:paraId="47242FD0" w15:paraIdParent="34939BC2" w15:done="0"/>
  <w15:commentEx w15:paraId="7D34857B" w15:done="0"/>
  <w15:commentEx w15:paraId="4C6268EC" w15:paraIdParent="7D34857B" w15:done="0"/>
  <w15:commentEx w15:paraId="5ED40619" w15:done="0"/>
  <w15:commentEx w15:paraId="454F060E" w15:done="0"/>
  <w15:commentEx w15:paraId="401210FC" w15:done="0"/>
  <w15:commentEx w15:paraId="6B3E66F3" w15:done="0"/>
  <w15:commentEx w15:paraId="05CB598D" w15:done="0"/>
  <w15:commentEx w15:paraId="6610E2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C55222" w16cex:dateUtc="2026-05-27T14:15:00Z"/>
  <w16cex:commentExtensible w16cex:durableId="57DE3764" w16cex:dateUtc="2026-07-10T14:05:00Z"/>
  <w16cex:commentExtensible w16cex:durableId="7757401C" w16cex:dateUtc="2026-05-26T16:38:00Z"/>
  <w16cex:commentExtensible w16cex:durableId="4C1DE629" w16cex:dateUtc="2026-07-10T13:30:00Z"/>
  <w16cex:commentExtensible w16cex:durableId="44023F15" w16cex:dateUtc="2026-05-27T15:16:00Z"/>
  <w16cex:commentExtensible w16cex:durableId="21A43F86" w16cex:dateUtc="2024-08-02T16:29:00Z"/>
  <w16cex:commentExtensible w16cex:durableId="12A82D57" w16cex:dateUtc="2024-08-02T16:31:00Z"/>
  <w16cex:commentExtensible w16cex:durableId="08D0421C" w16cex:dateUtc="2026-07-10T14:02:00Z"/>
  <w16cex:commentExtensible w16cex:durableId="14C26F29" w16cex:dateUtc="2026-05-27T21:19:00Z"/>
  <w16cex:commentExtensible w16cex:durableId="0FAF0694" w16cex:dateUtc="2026-07-10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39BC2" w16cid:durableId="08C55222"/>
  <w16cid:commentId w16cid:paraId="47242FD0" w16cid:durableId="57DE3764"/>
  <w16cid:commentId w16cid:paraId="7D34857B" w16cid:durableId="7757401C"/>
  <w16cid:commentId w16cid:paraId="4C6268EC" w16cid:durableId="4C1DE629"/>
  <w16cid:commentId w16cid:paraId="5ED40619" w16cid:durableId="44023F15"/>
  <w16cid:commentId w16cid:paraId="454F060E" w16cid:durableId="21A43F86"/>
  <w16cid:commentId w16cid:paraId="401210FC" w16cid:durableId="12A82D57"/>
  <w16cid:commentId w16cid:paraId="6B3E66F3" w16cid:durableId="08D0421C"/>
  <w16cid:commentId w16cid:paraId="05CB598D" w16cid:durableId="14C26F29"/>
  <w16cid:commentId w16cid:paraId="6610E2B0" w16cid:durableId="0FAF06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E03A7" w14:textId="77777777" w:rsidR="00431883" w:rsidRDefault="00431883" w:rsidP="00E408A0">
      <w:r>
        <w:separator/>
      </w:r>
    </w:p>
  </w:endnote>
  <w:endnote w:type="continuationSeparator" w:id="0">
    <w:p w14:paraId="101C357B" w14:textId="77777777" w:rsidR="00431883" w:rsidRDefault="00431883" w:rsidP="00E408A0">
      <w:r>
        <w:continuationSeparator/>
      </w:r>
    </w:p>
  </w:endnote>
  <w:endnote w:type="continuationNotice" w:id="1">
    <w:p w14:paraId="1A419BB9" w14:textId="77777777" w:rsidR="00431883" w:rsidRDefault="00431883" w:rsidP="00E408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267789"/>
      <w:docPartObj>
        <w:docPartGallery w:val="Page Numbers (Bottom of Page)"/>
        <w:docPartUnique/>
      </w:docPartObj>
    </w:sdtPr>
    <w:sdtEndPr>
      <w:rPr>
        <w:noProof/>
      </w:rPr>
    </w:sdtEndPr>
    <w:sdtContent>
      <w:p w14:paraId="23B1EF28" w14:textId="07CE7E28" w:rsidR="00B22C80" w:rsidRDefault="00B2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8A6582" w14:textId="77777777" w:rsidR="00414170" w:rsidRDefault="00414170" w:rsidP="00E408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765A" w14:textId="77777777" w:rsidR="00431883" w:rsidRDefault="00431883" w:rsidP="00B22C80">
      <w:pPr>
        <w:spacing w:after="0" w:line="240" w:lineRule="auto"/>
      </w:pPr>
      <w:r>
        <w:separator/>
      </w:r>
    </w:p>
  </w:footnote>
  <w:footnote w:type="continuationSeparator" w:id="0">
    <w:p w14:paraId="37415B64" w14:textId="77777777" w:rsidR="00431883" w:rsidRDefault="00431883" w:rsidP="00B22C80">
      <w:pPr>
        <w:spacing w:after="0" w:line="240" w:lineRule="auto"/>
      </w:pPr>
      <w:r>
        <w:continuationSeparator/>
      </w:r>
    </w:p>
  </w:footnote>
  <w:footnote w:type="continuationNotice" w:id="1">
    <w:p w14:paraId="1A403927" w14:textId="77777777" w:rsidR="00431883" w:rsidRDefault="00431883" w:rsidP="00B22C80">
      <w:pPr>
        <w:spacing w:after="0" w:line="240" w:lineRule="auto"/>
      </w:pPr>
    </w:p>
  </w:footnote>
  <w:footnote w:id="2">
    <w:p w14:paraId="49775D05" w14:textId="77777777" w:rsidR="00D22195" w:rsidRDefault="00D22195" w:rsidP="00B22C80">
      <w:pPr>
        <w:spacing w:after="120" w:line="240" w:lineRule="auto"/>
      </w:pPr>
      <w:r>
        <w:rPr>
          <w:rStyle w:val="FootnoteReference"/>
        </w:rPr>
        <w:footnoteRef/>
      </w:r>
      <w:r>
        <w:t xml:space="preserve"> A</w:t>
      </w:r>
      <w:r w:rsidRPr="007F7AAF">
        <w:t>n acre of alfalfa</w:t>
      </w:r>
      <w:r>
        <w:t>,</w:t>
      </w:r>
      <w:r w:rsidRPr="007F7AAF">
        <w:t xml:space="preserve"> on average</w:t>
      </w:r>
      <w:r>
        <w:t>,</w:t>
      </w:r>
      <w:r w:rsidRPr="007F7AAF">
        <w:t xml:space="preserve"> will fix about 200kg of nitrogen per year</w:t>
      </w:r>
      <w:r>
        <w:t>.</w:t>
      </w:r>
    </w:p>
  </w:footnote>
  <w:footnote w:id="3">
    <w:p w14:paraId="009306D8" w14:textId="55CEABE5" w:rsidR="00030DB7" w:rsidRDefault="00030DB7" w:rsidP="00B22C80">
      <w:pPr>
        <w:spacing w:after="120" w:line="240" w:lineRule="auto"/>
      </w:pPr>
      <w:r>
        <w:rPr>
          <w:rStyle w:val="FootnoteReference"/>
        </w:rPr>
        <w:footnoteRef/>
      </w:r>
      <w:r>
        <w:t xml:space="preserve"> United States (general): May 1 to April 30; Arizona and California: April 1 to March 31; Alabama, Arkansas, Colorado, Florida, Georgia, Kansas, Kentucky, Louisiana, Mississippi, Missouri, Nevada, New Mexico, North Carolina, Oklahoma, Pennsylvania, South Carolina, Tennessee, Texas, Utah, and Virginia: May 1 to April 30; and all other states: June 1 to May 31</w:t>
      </w:r>
      <w:r w:rsidR="009A0D9A">
        <w:t>.</w:t>
      </w:r>
    </w:p>
  </w:footnote>
  <w:footnote w:id="4">
    <w:p w14:paraId="269EAAD8" w14:textId="77777777" w:rsidR="000834CB" w:rsidRPr="004704A3" w:rsidRDefault="000834CB" w:rsidP="00B22C80">
      <w:pPr>
        <w:spacing w:after="120" w:line="240" w:lineRule="auto"/>
      </w:pPr>
      <w:r w:rsidRPr="004704A3">
        <w:rPr>
          <w:rStyle w:val="FootnoteReference"/>
        </w:rPr>
        <w:footnoteRef/>
      </w:r>
      <w:r w:rsidRPr="004704A3">
        <w:t xml:space="preserve"> All </w:t>
      </w:r>
      <w:r>
        <w:t>d</w:t>
      </w:r>
      <w:r w:rsidRPr="004704A3">
        <w:t>ata and models were processed on Beocat, a High-Performance Computing cluster at Kansas State University (</w:t>
      </w:r>
      <w:hyperlink r:id="rId1" w:history="1">
        <w:r w:rsidRPr="004704A3">
          <w:rPr>
            <w:rStyle w:val="Hyperlink"/>
          </w:rPr>
          <w:t>https://beocat.ksu.edu/</w:t>
        </w:r>
      </w:hyperlink>
      <w:r w:rsidRPr="004704A3">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009DD"/>
    <w:multiLevelType w:val="multilevel"/>
    <w:tmpl w:val="3C9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01657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Davis">
    <w15:presenceInfo w15:providerId="AD" w15:userId="S::wbdavis@uark.edu::6786d953-13c5-4b9a-9319-2c07f834fe91"/>
  </w15:person>
  <w15:person w15:author="Davis, Walker">
    <w15:presenceInfo w15:providerId="AD" w15:userId="S::walker.davis@okstate.edu::944e2364-2331-45ca-85f7-f0bce369e961"/>
  </w15:person>
  <w15:person w15:author="Tsiboe, Francis - REE-ERS">
    <w15:presenceInfo w15:providerId="AD" w15:userId="S::Francis.Tsiboe@usda.gov::7cf6428f-2d9c-421a-9f6a-d2b1119836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6"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0NLO0MDE2MLAwN7JU0lEKTi0uzszPAykwMqkFAFeFMSgtAAAA"/>
  </w:docVars>
  <w:rsids>
    <w:rsidRoot w:val="00035D70"/>
    <w:rsid w:val="000021F0"/>
    <w:rsid w:val="000037F4"/>
    <w:rsid w:val="00006381"/>
    <w:rsid w:val="00007CD9"/>
    <w:rsid w:val="000101DE"/>
    <w:rsid w:val="00011EC6"/>
    <w:rsid w:val="000123CC"/>
    <w:rsid w:val="00012D9A"/>
    <w:rsid w:val="0001315E"/>
    <w:rsid w:val="00014D9E"/>
    <w:rsid w:val="000161A5"/>
    <w:rsid w:val="000163D6"/>
    <w:rsid w:val="00016EA6"/>
    <w:rsid w:val="000203E8"/>
    <w:rsid w:val="00020A81"/>
    <w:rsid w:val="00023388"/>
    <w:rsid w:val="00023A26"/>
    <w:rsid w:val="00024841"/>
    <w:rsid w:val="000249F2"/>
    <w:rsid w:val="00025671"/>
    <w:rsid w:val="00025933"/>
    <w:rsid w:val="00025D9D"/>
    <w:rsid w:val="00026017"/>
    <w:rsid w:val="00026B12"/>
    <w:rsid w:val="000307B4"/>
    <w:rsid w:val="00030DB7"/>
    <w:rsid w:val="00032357"/>
    <w:rsid w:val="0003399B"/>
    <w:rsid w:val="0003466D"/>
    <w:rsid w:val="00034746"/>
    <w:rsid w:val="00035D70"/>
    <w:rsid w:val="00035E45"/>
    <w:rsid w:val="00035EE1"/>
    <w:rsid w:val="0003695D"/>
    <w:rsid w:val="00036D4D"/>
    <w:rsid w:val="000403C4"/>
    <w:rsid w:val="00040C29"/>
    <w:rsid w:val="00040D9F"/>
    <w:rsid w:val="00043057"/>
    <w:rsid w:val="000434F4"/>
    <w:rsid w:val="000444D8"/>
    <w:rsid w:val="00045463"/>
    <w:rsid w:val="00045C90"/>
    <w:rsid w:val="00047699"/>
    <w:rsid w:val="00047B37"/>
    <w:rsid w:val="00047B80"/>
    <w:rsid w:val="000501FB"/>
    <w:rsid w:val="000538D9"/>
    <w:rsid w:val="0005469B"/>
    <w:rsid w:val="00055BE7"/>
    <w:rsid w:val="00056009"/>
    <w:rsid w:val="00056117"/>
    <w:rsid w:val="000562AA"/>
    <w:rsid w:val="00056564"/>
    <w:rsid w:val="00056682"/>
    <w:rsid w:val="00056FDE"/>
    <w:rsid w:val="000573D5"/>
    <w:rsid w:val="0005775A"/>
    <w:rsid w:val="00057ECC"/>
    <w:rsid w:val="00060747"/>
    <w:rsid w:val="00060C72"/>
    <w:rsid w:val="000634F8"/>
    <w:rsid w:val="00063576"/>
    <w:rsid w:val="0006415D"/>
    <w:rsid w:val="0006467E"/>
    <w:rsid w:val="00065EE0"/>
    <w:rsid w:val="00065FB1"/>
    <w:rsid w:val="00072F3B"/>
    <w:rsid w:val="00073264"/>
    <w:rsid w:val="00073540"/>
    <w:rsid w:val="000751B2"/>
    <w:rsid w:val="00075F0A"/>
    <w:rsid w:val="00076305"/>
    <w:rsid w:val="00077836"/>
    <w:rsid w:val="00077F8E"/>
    <w:rsid w:val="00080805"/>
    <w:rsid w:val="00080CFB"/>
    <w:rsid w:val="000822A0"/>
    <w:rsid w:val="00083195"/>
    <w:rsid w:val="000834CB"/>
    <w:rsid w:val="00085110"/>
    <w:rsid w:val="00086B2A"/>
    <w:rsid w:val="00087068"/>
    <w:rsid w:val="00087F5E"/>
    <w:rsid w:val="00090935"/>
    <w:rsid w:val="00090CFF"/>
    <w:rsid w:val="0009154A"/>
    <w:rsid w:val="00091854"/>
    <w:rsid w:val="0009310E"/>
    <w:rsid w:val="00094C9B"/>
    <w:rsid w:val="00094E6A"/>
    <w:rsid w:val="0009795B"/>
    <w:rsid w:val="00097DED"/>
    <w:rsid w:val="000A16D5"/>
    <w:rsid w:val="000A30EE"/>
    <w:rsid w:val="000A3DCA"/>
    <w:rsid w:val="000A4939"/>
    <w:rsid w:val="000A598E"/>
    <w:rsid w:val="000A630F"/>
    <w:rsid w:val="000A64D2"/>
    <w:rsid w:val="000A7C72"/>
    <w:rsid w:val="000B01C6"/>
    <w:rsid w:val="000B0645"/>
    <w:rsid w:val="000B0FB5"/>
    <w:rsid w:val="000B17A8"/>
    <w:rsid w:val="000B19CD"/>
    <w:rsid w:val="000B1D26"/>
    <w:rsid w:val="000B2DA2"/>
    <w:rsid w:val="000B3588"/>
    <w:rsid w:val="000B7013"/>
    <w:rsid w:val="000B7946"/>
    <w:rsid w:val="000B7BC7"/>
    <w:rsid w:val="000B7C3A"/>
    <w:rsid w:val="000B7CDB"/>
    <w:rsid w:val="000C10AF"/>
    <w:rsid w:val="000C40C6"/>
    <w:rsid w:val="000C485D"/>
    <w:rsid w:val="000C497B"/>
    <w:rsid w:val="000C4BC9"/>
    <w:rsid w:val="000D1423"/>
    <w:rsid w:val="000D15F3"/>
    <w:rsid w:val="000D1791"/>
    <w:rsid w:val="000D1BC9"/>
    <w:rsid w:val="000D1C67"/>
    <w:rsid w:val="000D1CE1"/>
    <w:rsid w:val="000D216B"/>
    <w:rsid w:val="000D353C"/>
    <w:rsid w:val="000D39A7"/>
    <w:rsid w:val="000D4A96"/>
    <w:rsid w:val="000D5DBB"/>
    <w:rsid w:val="000D6447"/>
    <w:rsid w:val="000D6E9B"/>
    <w:rsid w:val="000D6ED1"/>
    <w:rsid w:val="000E005D"/>
    <w:rsid w:val="000E1664"/>
    <w:rsid w:val="000E1837"/>
    <w:rsid w:val="000E28B8"/>
    <w:rsid w:val="000E3607"/>
    <w:rsid w:val="000E5141"/>
    <w:rsid w:val="000E55A0"/>
    <w:rsid w:val="000E6EBB"/>
    <w:rsid w:val="000F00CA"/>
    <w:rsid w:val="000F0BEE"/>
    <w:rsid w:val="000F1665"/>
    <w:rsid w:val="000F1B4B"/>
    <w:rsid w:val="000F20C0"/>
    <w:rsid w:val="000F2A75"/>
    <w:rsid w:val="000F2EA7"/>
    <w:rsid w:val="000F3429"/>
    <w:rsid w:val="000F3C6E"/>
    <w:rsid w:val="000F3CEA"/>
    <w:rsid w:val="000F3D26"/>
    <w:rsid w:val="000F41C1"/>
    <w:rsid w:val="000F56C5"/>
    <w:rsid w:val="000F642E"/>
    <w:rsid w:val="000F6D46"/>
    <w:rsid w:val="000F7557"/>
    <w:rsid w:val="000F7A28"/>
    <w:rsid w:val="00100C9C"/>
    <w:rsid w:val="00103F57"/>
    <w:rsid w:val="001051F9"/>
    <w:rsid w:val="0010580F"/>
    <w:rsid w:val="00107CF4"/>
    <w:rsid w:val="00107DB0"/>
    <w:rsid w:val="001101C2"/>
    <w:rsid w:val="00110CC5"/>
    <w:rsid w:val="001116BF"/>
    <w:rsid w:val="00111949"/>
    <w:rsid w:val="001131E9"/>
    <w:rsid w:val="00113D13"/>
    <w:rsid w:val="0011428A"/>
    <w:rsid w:val="00115872"/>
    <w:rsid w:val="00115B38"/>
    <w:rsid w:val="00117F2F"/>
    <w:rsid w:val="00120612"/>
    <w:rsid w:val="00122E42"/>
    <w:rsid w:val="00127E63"/>
    <w:rsid w:val="00130006"/>
    <w:rsid w:val="00131931"/>
    <w:rsid w:val="001319C1"/>
    <w:rsid w:val="00131CEC"/>
    <w:rsid w:val="00134638"/>
    <w:rsid w:val="00134646"/>
    <w:rsid w:val="00135CEF"/>
    <w:rsid w:val="00136475"/>
    <w:rsid w:val="001376DB"/>
    <w:rsid w:val="00137D33"/>
    <w:rsid w:val="00137FE4"/>
    <w:rsid w:val="0014040D"/>
    <w:rsid w:val="0014310A"/>
    <w:rsid w:val="001443BC"/>
    <w:rsid w:val="00144C93"/>
    <w:rsid w:val="00146A6E"/>
    <w:rsid w:val="001479B8"/>
    <w:rsid w:val="0015134A"/>
    <w:rsid w:val="00151670"/>
    <w:rsid w:val="001516D6"/>
    <w:rsid w:val="00151D47"/>
    <w:rsid w:val="001526A2"/>
    <w:rsid w:val="001534DC"/>
    <w:rsid w:val="001535EB"/>
    <w:rsid w:val="00157EC5"/>
    <w:rsid w:val="00160C3F"/>
    <w:rsid w:val="0016172C"/>
    <w:rsid w:val="001618B9"/>
    <w:rsid w:val="001619D3"/>
    <w:rsid w:val="00161EE1"/>
    <w:rsid w:val="00162009"/>
    <w:rsid w:val="001620ED"/>
    <w:rsid w:val="00162E9B"/>
    <w:rsid w:val="00162EF7"/>
    <w:rsid w:val="00163099"/>
    <w:rsid w:val="00163892"/>
    <w:rsid w:val="00164BEE"/>
    <w:rsid w:val="0016507A"/>
    <w:rsid w:val="001659CA"/>
    <w:rsid w:val="00166DE2"/>
    <w:rsid w:val="00170A7F"/>
    <w:rsid w:val="001716CC"/>
    <w:rsid w:val="001719FA"/>
    <w:rsid w:val="00171AC1"/>
    <w:rsid w:val="00171FDE"/>
    <w:rsid w:val="001720BE"/>
    <w:rsid w:val="00172736"/>
    <w:rsid w:val="00173B1E"/>
    <w:rsid w:val="001742B3"/>
    <w:rsid w:val="0017433A"/>
    <w:rsid w:val="001745A4"/>
    <w:rsid w:val="00174B5C"/>
    <w:rsid w:val="00174B88"/>
    <w:rsid w:val="001759D1"/>
    <w:rsid w:val="00176246"/>
    <w:rsid w:val="0017790E"/>
    <w:rsid w:val="00177A56"/>
    <w:rsid w:val="001807E9"/>
    <w:rsid w:val="00180B27"/>
    <w:rsid w:val="00181620"/>
    <w:rsid w:val="001819C1"/>
    <w:rsid w:val="0018365E"/>
    <w:rsid w:val="001841AC"/>
    <w:rsid w:val="0018464C"/>
    <w:rsid w:val="001848D9"/>
    <w:rsid w:val="001851B8"/>
    <w:rsid w:val="001854EC"/>
    <w:rsid w:val="00186EE5"/>
    <w:rsid w:val="00190388"/>
    <w:rsid w:val="00191028"/>
    <w:rsid w:val="001920BE"/>
    <w:rsid w:val="00193E10"/>
    <w:rsid w:val="001941C9"/>
    <w:rsid w:val="00194A88"/>
    <w:rsid w:val="00195C99"/>
    <w:rsid w:val="0019792A"/>
    <w:rsid w:val="001A0400"/>
    <w:rsid w:val="001A04E1"/>
    <w:rsid w:val="001A18D3"/>
    <w:rsid w:val="001A1E14"/>
    <w:rsid w:val="001A2A0A"/>
    <w:rsid w:val="001A2B62"/>
    <w:rsid w:val="001A36AC"/>
    <w:rsid w:val="001A3F82"/>
    <w:rsid w:val="001A53B5"/>
    <w:rsid w:val="001A663A"/>
    <w:rsid w:val="001A6A8D"/>
    <w:rsid w:val="001A720F"/>
    <w:rsid w:val="001B06E2"/>
    <w:rsid w:val="001B0DC2"/>
    <w:rsid w:val="001B13A4"/>
    <w:rsid w:val="001B1F7B"/>
    <w:rsid w:val="001B2C65"/>
    <w:rsid w:val="001B3135"/>
    <w:rsid w:val="001B44D9"/>
    <w:rsid w:val="001B47CE"/>
    <w:rsid w:val="001B6004"/>
    <w:rsid w:val="001B62E9"/>
    <w:rsid w:val="001B6490"/>
    <w:rsid w:val="001B678F"/>
    <w:rsid w:val="001B7570"/>
    <w:rsid w:val="001B7857"/>
    <w:rsid w:val="001C3D1F"/>
    <w:rsid w:val="001C3DF0"/>
    <w:rsid w:val="001C586A"/>
    <w:rsid w:val="001C599A"/>
    <w:rsid w:val="001C5A38"/>
    <w:rsid w:val="001C5D3F"/>
    <w:rsid w:val="001D228E"/>
    <w:rsid w:val="001D2444"/>
    <w:rsid w:val="001D2973"/>
    <w:rsid w:val="001D3988"/>
    <w:rsid w:val="001D3C30"/>
    <w:rsid w:val="001D4490"/>
    <w:rsid w:val="001D4609"/>
    <w:rsid w:val="001D49EF"/>
    <w:rsid w:val="001D6161"/>
    <w:rsid w:val="001D6898"/>
    <w:rsid w:val="001D6A14"/>
    <w:rsid w:val="001D6B92"/>
    <w:rsid w:val="001D74F8"/>
    <w:rsid w:val="001D7DCA"/>
    <w:rsid w:val="001D7FFD"/>
    <w:rsid w:val="001E04FF"/>
    <w:rsid w:val="001E06ED"/>
    <w:rsid w:val="001E51AA"/>
    <w:rsid w:val="001E6595"/>
    <w:rsid w:val="001E69AC"/>
    <w:rsid w:val="001E702B"/>
    <w:rsid w:val="001F0C30"/>
    <w:rsid w:val="001F184A"/>
    <w:rsid w:val="001F1DDB"/>
    <w:rsid w:val="001F1E9B"/>
    <w:rsid w:val="001F291A"/>
    <w:rsid w:val="001F3846"/>
    <w:rsid w:val="001F3B7D"/>
    <w:rsid w:val="001F5211"/>
    <w:rsid w:val="001F5D11"/>
    <w:rsid w:val="001F6CFE"/>
    <w:rsid w:val="001F779D"/>
    <w:rsid w:val="002025DD"/>
    <w:rsid w:val="002026FD"/>
    <w:rsid w:val="00203852"/>
    <w:rsid w:val="00203E01"/>
    <w:rsid w:val="00203FA9"/>
    <w:rsid w:val="0020704D"/>
    <w:rsid w:val="00210A5F"/>
    <w:rsid w:val="00210A9A"/>
    <w:rsid w:val="00210C43"/>
    <w:rsid w:val="00210CC7"/>
    <w:rsid w:val="00211443"/>
    <w:rsid w:val="002125D3"/>
    <w:rsid w:val="002125E7"/>
    <w:rsid w:val="00212AD3"/>
    <w:rsid w:val="00212DBD"/>
    <w:rsid w:val="00213445"/>
    <w:rsid w:val="002155BC"/>
    <w:rsid w:val="00216AE9"/>
    <w:rsid w:val="002175D7"/>
    <w:rsid w:val="002216FF"/>
    <w:rsid w:val="00222CF7"/>
    <w:rsid w:val="00223C75"/>
    <w:rsid w:val="00224CF9"/>
    <w:rsid w:val="00225EFF"/>
    <w:rsid w:val="0022741D"/>
    <w:rsid w:val="002302B9"/>
    <w:rsid w:val="00230B57"/>
    <w:rsid w:val="00231B26"/>
    <w:rsid w:val="002323FA"/>
    <w:rsid w:val="002347B0"/>
    <w:rsid w:val="002357D9"/>
    <w:rsid w:val="00235BF2"/>
    <w:rsid w:val="0023748C"/>
    <w:rsid w:val="00241A42"/>
    <w:rsid w:val="00241D9B"/>
    <w:rsid w:val="002423A4"/>
    <w:rsid w:val="00242E25"/>
    <w:rsid w:val="00243300"/>
    <w:rsid w:val="00244B17"/>
    <w:rsid w:val="0024506E"/>
    <w:rsid w:val="002450BF"/>
    <w:rsid w:val="00245C06"/>
    <w:rsid w:val="0024676E"/>
    <w:rsid w:val="0024682C"/>
    <w:rsid w:val="00246A52"/>
    <w:rsid w:val="00246AA9"/>
    <w:rsid w:val="00246D98"/>
    <w:rsid w:val="00247456"/>
    <w:rsid w:val="00247722"/>
    <w:rsid w:val="0025392F"/>
    <w:rsid w:val="00253AC5"/>
    <w:rsid w:val="00254550"/>
    <w:rsid w:val="00254A78"/>
    <w:rsid w:val="00255675"/>
    <w:rsid w:val="00255BAA"/>
    <w:rsid w:val="00255CB8"/>
    <w:rsid w:val="00256C78"/>
    <w:rsid w:val="00257F11"/>
    <w:rsid w:val="002603BF"/>
    <w:rsid w:val="002604BF"/>
    <w:rsid w:val="002611BB"/>
    <w:rsid w:val="002630B0"/>
    <w:rsid w:val="00263FD2"/>
    <w:rsid w:val="0026417A"/>
    <w:rsid w:val="002641D1"/>
    <w:rsid w:val="00264852"/>
    <w:rsid w:val="0026641B"/>
    <w:rsid w:val="0026769D"/>
    <w:rsid w:val="00267987"/>
    <w:rsid w:val="00267AE0"/>
    <w:rsid w:val="00267AED"/>
    <w:rsid w:val="0027027C"/>
    <w:rsid w:val="0027062B"/>
    <w:rsid w:val="00270C60"/>
    <w:rsid w:val="00271036"/>
    <w:rsid w:val="0027253D"/>
    <w:rsid w:val="0027397D"/>
    <w:rsid w:val="00273BA4"/>
    <w:rsid w:val="0027416A"/>
    <w:rsid w:val="002741D2"/>
    <w:rsid w:val="00274619"/>
    <w:rsid w:val="002759BA"/>
    <w:rsid w:val="002761FF"/>
    <w:rsid w:val="0027729A"/>
    <w:rsid w:val="002772CA"/>
    <w:rsid w:val="002848FF"/>
    <w:rsid w:val="002858AB"/>
    <w:rsid w:val="00285E1B"/>
    <w:rsid w:val="00286115"/>
    <w:rsid w:val="00287514"/>
    <w:rsid w:val="002876F9"/>
    <w:rsid w:val="00292C04"/>
    <w:rsid w:val="00293566"/>
    <w:rsid w:val="002937E6"/>
    <w:rsid w:val="00293AB6"/>
    <w:rsid w:val="002947DD"/>
    <w:rsid w:val="0029527A"/>
    <w:rsid w:val="002953EE"/>
    <w:rsid w:val="002A00B1"/>
    <w:rsid w:val="002A14ED"/>
    <w:rsid w:val="002A17BA"/>
    <w:rsid w:val="002A1937"/>
    <w:rsid w:val="002A1B95"/>
    <w:rsid w:val="002A1D1C"/>
    <w:rsid w:val="002A1E3F"/>
    <w:rsid w:val="002A5BD7"/>
    <w:rsid w:val="002A68F7"/>
    <w:rsid w:val="002A70A5"/>
    <w:rsid w:val="002A750C"/>
    <w:rsid w:val="002B0279"/>
    <w:rsid w:val="002B0570"/>
    <w:rsid w:val="002B1042"/>
    <w:rsid w:val="002B147B"/>
    <w:rsid w:val="002B1AF7"/>
    <w:rsid w:val="002B2717"/>
    <w:rsid w:val="002B2856"/>
    <w:rsid w:val="002B2A72"/>
    <w:rsid w:val="002B2BA8"/>
    <w:rsid w:val="002B57B5"/>
    <w:rsid w:val="002B61FF"/>
    <w:rsid w:val="002B6400"/>
    <w:rsid w:val="002B7423"/>
    <w:rsid w:val="002B7AD1"/>
    <w:rsid w:val="002C2B9E"/>
    <w:rsid w:val="002C2C08"/>
    <w:rsid w:val="002C2E0E"/>
    <w:rsid w:val="002C482B"/>
    <w:rsid w:val="002C4D60"/>
    <w:rsid w:val="002C5176"/>
    <w:rsid w:val="002C5235"/>
    <w:rsid w:val="002C6332"/>
    <w:rsid w:val="002C6394"/>
    <w:rsid w:val="002C6471"/>
    <w:rsid w:val="002C6661"/>
    <w:rsid w:val="002D2D13"/>
    <w:rsid w:val="002D3FB9"/>
    <w:rsid w:val="002D5EB9"/>
    <w:rsid w:val="002D7A3B"/>
    <w:rsid w:val="002E008F"/>
    <w:rsid w:val="002E158D"/>
    <w:rsid w:val="002E2F72"/>
    <w:rsid w:val="002E3A2C"/>
    <w:rsid w:val="002E41EF"/>
    <w:rsid w:val="002E5B0C"/>
    <w:rsid w:val="002E5CBD"/>
    <w:rsid w:val="002E6F4B"/>
    <w:rsid w:val="002E7DF2"/>
    <w:rsid w:val="002F0340"/>
    <w:rsid w:val="002F198E"/>
    <w:rsid w:val="002F22E1"/>
    <w:rsid w:val="002F239F"/>
    <w:rsid w:val="002F2732"/>
    <w:rsid w:val="002F40D4"/>
    <w:rsid w:val="002F436C"/>
    <w:rsid w:val="002F47A2"/>
    <w:rsid w:val="002F49F4"/>
    <w:rsid w:val="002F4AA6"/>
    <w:rsid w:val="0030065D"/>
    <w:rsid w:val="0030331D"/>
    <w:rsid w:val="00303364"/>
    <w:rsid w:val="0030412D"/>
    <w:rsid w:val="00304DB3"/>
    <w:rsid w:val="00304E4F"/>
    <w:rsid w:val="00306801"/>
    <w:rsid w:val="00306A16"/>
    <w:rsid w:val="003070D7"/>
    <w:rsid w:val="003071E3"/>
    <w:rsid w:val="00307C80"/>
    <w:rsid w:val="0031047C"/>
    <w:rsid w:val="0031113E"/>
    <w:rsid w:val="00312D34"/>
    <w:rsid w:val="00313590"/>
    <w:rsid w:val="00313B2B"/>
    <w:rsid w:val="00313BCC"/>
    <w:rsid w:val="003140AB"/>
    <w:rsid w:val="00314EFD"/>
    <w:rsid w:val="0031516B"/>
    <w:rsid w:val="003152ED"/>
    <w:rsid w:val="00315A84"/>
    <w:rsid w:val="0032053B"/>
    <w:rsid w:val="003219F0"/>
    <w:rsid w:val="0032275E"/>
    <w:rsid w:val="003228F1"/>
    <w:rsid w:val="00325B47"/>
    <w:rsid w:val="00326C13"/>
    <w:rsid w:val="003308C7"/>
    <w:rsid w:val="00331467"/>
    <w:rsid w:val="003330C4"/>
    <w:rsid w:val="003359BF"/>
    <w:rsid w:val="003359D9"/>
    <w:rsid w:val="003365B2"/>
    <w:rsid w:val="00336949"/>
    <w:rsid w:val="00336EDB"/>
    <w:rsid w:val="00340A55"/>
    <w:rsid w:val="00340C8D"/>
    <w:rsid w:val="00340F83"/>
    <w:rsid w:val="00341C70"/>
    <w:rsid w:val="00342D20"/>
    <w:rsid w:val="00343075"/>
    <w:rsid w:val="003438C2"/>
    <w:rsid w:val="00344900"/>
    <w:rsid w:val="00345AE5"/>
    <w:rsid w:val="00345C8F"/>
    <w:rsid w:val="00347E6E"/>
    <w:rsid w:val="0035030E"/>
    <w:rsid w:val="00350AD5"/>
    <w:rsid w:val="00350C26"/>
    <w:rsid w:val="00352CC5"/>
    <w:rsid w:val="00354AED"/>
    <w:rsid w:val="0035524B"/>
    <w:rsid w:val="00356343"/>
    <w:rsid w:val="003563CC"/>
    <w:rsid w:val="00356FCC"/>
    <w:rsid w:val="0035735A"/>
    <w:rsid w:val="0035783E"/>
    <w:rsid w:val="003578D5"/>
    <w:rsid w:val="00360B8C"/>
    <w:rsid w:val="003614AF"/>
    <w:rsid w:val="00361BD2"/>
    <w:rsid w:val="00363AD2"/>
    <w:rsid w:val="00363CCE"/>
    <w:rsid w:val="0036427B"/>
    <w:rsid w:val="00365457"/>
    <w:rsid w:val="0036551F"/>
    <w:rsid w:val="003659DB"/>
    <w:rsid w:val="00366226"/>
    <w:rsid w:val="00366A8A"/>
    <w:rsid w:val="003675DD"/>
    <w:rsid w:val="003676CD"/>
    <w:rsid w:val="00370A8D"/>
    <w:rsid w:val="00370BB8"/>
    <w:rsid w:val="00371B84"/>
    <w:rsid w:val="0037267E"/>
    <w:rsid w:val="003727E4"/>
    <w:rsid w:val="00373318"/>
    <w:rsid w:val="003735BE"/>
    <w:rsid w:val="003751DE"/>
    <w:rsid w:val="0037524D"/>
    <w:rsid w:val="0037571A"/>
    <w:rsid w:val="003812B0"/>
    <w:rsid w:val="00382BD0"/>
    <w:rsid w:val="00382D81"/>
    <w:rsid w:val="00383293"/>
    <w:rsid w:val="00383861"/>
    <w:rsid w:val="00383E43"/>
    <w:rsid w:val="00385382"/>
    <w:rsid w:val="0038668F"/>
    <w:rsid w:val="003906C1"/>
    <w:rsid w:val="00391441"/>
    <w:rsid w:val="00391689"/>
    <w:rsid w:val="00391B93"/>
    <w:rsid w:val="00392510"/>
    <w:rsid w:val="00392F21"/>
    <w:rsid w:val="0039353F"/>
    <w:rsid w:val="003945C5"/>
    <w:rsid w:val="00394EA7"/>
    <w:rsid w:val="0039554A"/>
    <w:rsid w:val="00396C99"/>
    <w:rsid w:val="0039761D"/>
    <w:rsid w:val="00397AB3"/>
    <w:rsid w:val="00397F3E"/>
    <w:rsid w:val="003A033A"/>
    <w:rsid w:val="003A1E6F"/>
    <w:rsid w:val="003A2070"/>
    <w:rsid w:val="003A2C62"/>
    <w:rsid w:val="003A42D8"/>
    <w:rsid w:val="003A537E"/>
    <w:rsid w:val="003A54C2"/>
    <w:rsid w:val="003A59FD"/>
    <w:rsid w:val="003A5D06"/>
    <w:rsid w:val="003A65A3"/>
    <w:rsid w:val="003A6ABA"/>
    <w:rsid w:val="003A74C0"/>
    <w:rsid w:val="003A7803"/>
    <w:rsid w:val="003B0EEB"/>
    <w:rsid w:val="003B1936"/>
    <w:rsid w:val="003B2DE6"/>
    <w:rsid w:val="003B36A1"/>
    <w:rsid w:val="003B5BA1"/>
    <w:rsid w:val="003B5E43"/>
    <w:rsid w:val="003B6C25"/>
    <w:rsid w:val="003B75B0"/>
    <w:rsid w:val="003B7E9C"/>
    <w:rsid w:val="003C4458"/>
    <w:rsid w:val="003C7ACD"/>
    <w:rsid w:val="003C7DD1"/>
    <w:rsid w:val="003D0747"/>
    <w:rsid w:val="003D14B4"/>
    <w:rsid w:val="003D1657"/>
    <w:rsid w:val="003D16B7"/>
    <w:rsid w:val="003D16FC"/>
    <w:rsid w:val="003D17CA"/>
    <w:rsid w:val="003D1836"/>
    <w:rsid w:val="003D1DC5"/>
    <w:rsid w:val="003D240B"/>
    <w:rsid w:val="003D28FA"/>
    <w:rsid w:val="003D3205"/>
    <w:rsid w:val="003D3519"/>
    <w:rsid w:val="003D4215"/>
    <w:rsid w:val="003D484F"/>
    <w:rsid w:val="003D5FEC"/>
    <w:rsid w:val="003D63E0"/>
    <w:rsid w:val="003D7E80"/>
    <w:rsid w:val="003E082E"/>
    <w:rsid w:val="003E1480"/>
    <w:rsid w:val="003E2347"/>
    <w:rsid w:val="003E38DA"/>
    <w:rsid w:val="003E3A3C"/>
    <w:rsid w:val="003E3CAF"/>
    <w:rsid w:val="003E688C"/>
    <w:rsid w:val="003E73B6"/>
    <w:rsid w:val="003F077B"/>
    <w:rsid w:val="003F0A14"/>
    <w:rsid w:val="003F0B5E"/>
    <w:rsid w:val="003F176C"/>
    <w:rsid w:val="003F1B21"/>
    <w:rsid w:val="003F3F71"/>
    <w:rsid w:val="003F691E"/>
    <w:rsid w:val="003F7A02"/>
    <w:rsid w:val="003F7C8B"/>
    <w:rsid w:val="003F7EC0"/>
    <w:rsid w:val="00400817"/>
    <w:rsid w:val="004018CB"/>
    <w:rsid w:val="00401DBF"/>
    <w:rsid w:val="004026CA"/>
    <w:rsid w:val="004031B3"/>
    <w:rsid w:val="00403605"/>
    <w:rsid w:val="00405221"/>
    <w:rsid w:val="004055FE"/>
    <w:rsid w:val="00406587"/>
    <w:rsid w:val="004071B6"/>
    <w:rsid w:val="00412741"/>
    <w:rsid w:val="004128DD"/>
    <w:rsid w:val="00414170"/>
    <w:rsid w:val="00415486"/>
    <w:rsid w:val="00416856"/>
    <w:rsid w:val="00417897"/>
    <w:rsid w:val="00417DD8"/>
    <w:rsid w:val="0042197A"/>
    <w:rsid w:val="00422419"/>
    <w:rsid w:val="004240D9"/>
    <w:rsid w:val="0042450D"/>
    <w:rsid w:val="00424D73"/>
    <w:rsid w:val="004252EB"/>
    <w:rsid w:val="00425A63"/>
    <w:rsid w:val="00425C1C"/>
    <w:rsid w:val="00425CB9"/>
    <w:rsid w:val="00426E8A"/>
    <w:rsid w:val="00431883"/>
    <w:rsid w:val="0043349B"/>
    <w:rsid w:val="004338F9"/>
    <w:rsid w:val="00433C62"/>
    <w:rsid w:val="00434096"/>
    <w:rsid w:val="0043471A"/>
    <w:rsid w:val="00436A97"/>
    <w:rsid w:val="004407D4"/>
    <w:rsid w:val="00440857"/>
    <w:rsid w:val="00441E64"/>
    <w:rsid w:val="00442E0D"/>
    <w:rsid w:val="004438AA"/>
    <w:rsid w:val="004452C5"/>
    <w:rsid w:val="00445688"/>
    <w:rsid w:val="004468C4"/>
    <w:rsid w:val="00446CAC"/>
    <w:rsid w:val="00447225"/>
    <w:rsid w:val="00450013"/>
    <w:rsid w:val="00450643"/>
    <w:rsid w:val="00450979"/>
    <w:rsid w:val="00450A8F"/>
    <w:rsid w:val="004511DB"/>
    <w:rsid w:val="00451C8F"/>
    <w:rsid w:val="004536BA"/>
    <w:rsid w:val="00453D2B"/>
    <w:rsid w:val="00455399"/>
    <w:rsid w:val="004603BF"/>
    <w:rsid w:val="00460491"/>
    <w:rsid w:val="00461402"/>
    <w:rsid w:val="00461593"/>
    <w:rsid w:val="00463C2B"/>
    <w:rsid w:val="0046477C"/>
    <w:rsid w:val="00464EFF"/>
    <w:rsid w:val="0046524D"/>
    <w:rsid w:val="004664E4"/>
    <w:rsid w:val="00466E37"/>
    <w:rsid w:val="00466F22"/>
    <w:rsid w:val="0046766E"/>
    <w:rsid w:val="0046770C"/>
    <w:rsid w:val="004704A3"/>
    <w:rsid w:val="004713CF"/>
    <w:rsid w:val="004719DD"/>
    <w:rsid w:val="00471A13"/>
    <w:rsid w:val="00471F6E"/>
    <w:rsid w:val="00472C37"/>
    <w:rsid w:val="004734F1"/>
    <w:rsid w:val="004735D1"/>
    <w:rsid w:val="004747A5"/>
    <w:rsid w:val="004750C9"/>
    <w:rsid w:val="00475D2B"/>
    <w:rsid w:val="00475E54"/>
    <w:rsid w:val="00476F6D"/>
    <w:rsid w:val="00477184"/>
    <w:rsid w:val="004810D4"/>
    <w:rsid w:val="00482610"/>
    <w:rsid w:val="004833A6"/>
    <w:rsid w:val="00483759"/>
    <w:rsid w:val="004838BD"/>
    <w:rsid w:val="004842B9"/>
    <w:rsid w:val="00484C3B"/>
    <w:rsid w:val="00485AB9"/>
    <w:rsid w:val="0049071A"/>
    <w:rsid w:val="00490965"/>
    <w:rsid w:val="00493396"/>
    <w:rsid w:val="00493870"/>
    <w:rsid w:val="00493E40"/>
    <w:rsid w:val="00494695"/>
    <w:rsid w:val="00494BC8"/>
    <w:rsid w:val="00495AEF"/>
    <w:rsid w:val="00496031"/>
    <w:rsid w:val="00496F83"/>
    <w:rsid w:val="0049743A"/>
    <w:rsid w:val="00497538"/>
    <w:rsid w:val="004A00FA"/>
    <w:rsid w:val="004A0708"/>
    <w:rsid w:val="004A0D7F"/>
    <w:rsid w:val="004A1E8B"/>
    <w:rsid w:val="004A2182"/>
    <w:rsid w:val="004A30F5"/>
    <w:rsid w:val="004A383C"/>
    <w:rsid w:val="004A3908"/>
    <w:rsid w:val="004A3B47"/>
    <w:rsid w:val="004A4A05"/>
    <w:rsid w:val="004A522B"/>
    <w:rsid w:val="004A5407"/>
    <w:rsid w:val="004A54BF"/>
    <w:rsid w:val="004A56D5"/>
    <w:rsid w:val="004A5C7F"/>
    <w:rsid w:val="004A6E05"/>
    <w:rsid w:val="004A7924"/>
    <w:rsid w:val="004B02EF"/>
    <w:rsid w:val="004B0398"/>
    <w:rsid w:val="004B0997"/>
    <w:rsid w:val="004B127D"/>
    <w:rsid w:val="004B12E8"/>
    <w:rsid w:val="004B3041"/>
    <w:rsid w:val="004B4529"/>
    <w:rsid w:val="004B59FE"/>
    <w:rsid w:val="004B6768"/>
    <w:rsid w:val="004B6BD8"/>
    <w:rsid w:val="004C0E0C"/>
    <w:rsid w:val="004C114C"/>
    <w:rsid w:val="004C38B5"/>
    <w:rsid w:val="004C4294"/>
    <w:rsid w:val="004C43D9"/>
    <w:rsid w:val="004C552C"/>
    <w:rsid w:val="004C5578"/>
    <w:rsid w:val="004C5CC8"/>
    <w:rsid w:val="004C6A72"/>
    <w:rsid w:val="004C7470"/>
    <w:rsid w:val="004D016A"/>
    <w:rsid w:val="004D05ED"/>
    <w:rsid w:val="004D0766"/>
    <w:rsid w:val="004D0BBF"/>
    <w:rsid w:val="004D2ACC"/>
    <w:rsid w:val="004D3792"/>
    <w:rsid w:val="004D3B31"/>
    <w:rsid w:val="004D52A3"/>
    <w:rsid w:val="004D5DF2"/>
    <w:rsid w:val="004D5E6A"/>
    <w:rsid w:val="004D627A"/>
    <w:rsid w:val="004D63B2"/>
    <w:rsid w:val="004D673E"/>
    <w:rsid w:val="004D7275"/>
    <w:rsid w:val="004D77FF"/>
    <w:rsid w:val="004D7E40"/>
    <w:rsid w:val="004E0C87"/>
    <w:rsid w:val="004E1022"/>
    <w:rsid w:val="004E1D41"/>
    <w:rsid w:val="004E2C23"/>
    <w:rsid w:val="004E4AC3"/>
    <w:rsid w:val="004E5502"/>
    <w:rsid w:val="004E5C73"/>
    <w:rsid w:val="004E75A2"/>
    <w:rsid w:val="004F0683"/>
    <w:rsid w:val="004F0986"/>
    <w:rsid w:val="004F1EB6"/>
    <w:rsid w:val="004F1FE2"/>
    <w:rsid w:val="004F237E"/>
    <w:rsid w:val="004F24A9"/>
    <w:rsid w:val="004F2C90"/>
    <w:rsid w:val="004F302E"/>
    <w:rsid w:val="004F371A"/>
    <w:rsid w:val="004F4D59"/>
    <w:rsid w:val="004F4DD0"/>
    <w:rsid w:val="004F6CD8"/>
    <w:rsid w:val="004F7BC4"/>
    <w:rsid w:val="005004AC"/>
    <w:rsid w:val="005005C4"/>
    <w:rsid w:val="00500C99"/>
    <w:rsid w:val="00501035"/>
    <w:rsid w:val="00501E1F"/>
    <w:rsid w:val="00501F9D"/>
    <w:rsid w:val="00503011"/>
    <w:rsid w:val="0050346C"/>
    <w:rsid w:val="0050379E"/>
    <w:rsid w:val="00503D7A"/>
    <w:rsid w:val="00503E6D"/>
    <w:rsid w:val="005058AB"/>
    <w:rsid w:val="00506409"/>
    <w:rsid w:val="005074A7"/>
    <w:rsid w:val="00507907"/>
    <w:rsid w:val="00507D50"/>
    <w:rsid w:val="00510176"/>
    <w:rsid w:val="00511978"/>
    <w:rsid w:val="00511A6A"/>
    <w:rsid w:val="00511F59"/>
    <w:rsid w:val="00512578"/>
    <w:rsid w:val="0051279F"/>
    <w:rsid w:val="005127DD"/>
    <w:rsid w:val="005135FA"/>
    <w:rsid w:val="00513778"/>
    <w:rsid w:val="00516112"/>
    <w:rsid w:val="00516E27"/>
    <w:rsid w:val="0051798D"/>
    <w:rsid w:val="00520543"/>
    <w:rsid w:val="00521DDA"/>
    <w:rsid w:val="0052423B"/>
    <w:rsid w:val="00526A99"/>
    <w:rsid w:val="005304B1"/>
    <w:rsid w:val="005320CB"/>
    <w:rsid w:val="00532859"/>
    <w:rsid w:val="00533FEA"/>
    <w:rsid w:val="00535859"/>
    <w:rsid w:val="005366F8"/>
    <w:rsid w:val="005377E5"/>
    <w:rsid w:val="00537C20"/>
    <w:rsid w:val="0054055B"/>
    <w:rsid w:val="005405D1"/>
    <w:rsid w:val="00540846"/>
    <w:rsid w:val="00540A99"/>
    <w:rsid w:val="00541541"/>
    <w:rsid w:val="0054172A"/>
    <w:rsid w:val="00542079"/>
    <w:rsid w:val="00542475"/>
    <w:rsid w:val="00542F83"/>
    <w:rsid w:val="005432A6"/>
    <w:rsid w:val="00545918"/>
    <w:rsid w:val="0054596D"/>
    <w:rsid w:val="005508EB"/>
    <w:rsid w:val="00551E5A"/>
    <w:rsid w:val="00553134"/>
    <w:rsid w:val="0055408F"/>
    <w:rsid w:val="00555BCC"/>
    <w:rsid w:val="00556233"/>
    <w:rsid w:val="00556673"/>
    <w:rsid w:val="00556B32"/>
    <w:rsid w:val="00556FEE"/>
    <w:rsid w:val="005579D7"/>
    <w:rsid w:val="005607CC"/>
    <w:rsid w:val="0056175E"/>
    <w:rsid w:val="005621F2"/>
    <w:rsid w:val="0056623C"/>
    <w:rsid w:val="0056741B"/>
    <w:rsid w:val="00567484"/>
    <w:rsid w:val="00570B32"/>
    <w:rsid w:val="00570BD1"/>
    <w:rsid w:val="005720BB"/>
    <w:rsid w:val="00573C15"/>
    <w:rsid w:val="00573ED8"/>
    <w:rsid w:val="00574690"/>
    <w:rsid w:val="00575F56"/>
    <w:rsid w:val="00576BCA"/>
    <w:rsid w:val="00577A7E"/>
    <w:rsid w:val="005800F5"/>
    <w:rsid w:val="00580864"/>
    <w:rsid w:val="00580ADE"/>
    <w:rsid w:val="0058199F"/>
    <w:rsid w:val="00582BDC"/>
    <w:rsid w:val="00584296"/>
    <w:rsid w:val="00585A5F"/>
    <w:rsid w:val="005871CF"/>
    <w:rsid w:val="00591654"/>
    <w:rsid w:val="00591C5A"/>
    <w:rsid w:val="0059244B"/>
    <w:rsid w:val="00592ACA"/>
    <w:rsid w:val="005940AE"/>
    <w:rsid w:val="005946C3"/>
    <w:rsid w:val="00594E32"/>
    <w:rsid w:val="005A01CA"/>
    <w:rsid w:val="005A07D2"/>
    <w:rsid w:val="005A0A68"/>
    <w:rsid w:val="005A0F68"/>
    <w:rsid w:val="005A21BA"/>
    <w:rsid w:val="005A2A10"/>
    <w:rsid w:val="005A3B6A"/>
    <w:rsid w:val="005A4358"/>
    <w:rsid w:val="005A43BA"/>
    <w:rsid w:val="005A692C"/>
    <w:rsid w:val="005A6A60"/>
    <w:rsid w:val="005A6C01"/>
    <w:rsid w:val="005B02B9"/>
    <w:rsid w:val="005B02E3"/>
    <w:rsid w:val="005B0412"/>
    <w:rsid w:val="005B170A"/>
    <w:rsid w:val="005B1D1E"/>
    <w:rsid w:val="005B2335"/>
    <w:rsid w:val="005B23E9"/>
    <w:rsid w:val="005B24BE"/>
    <w:rsid w:val="005B3178"/>
    <w:rsid w:val="005B397B"/>
    <w:rsid w:val="005B4501"/>
    <w:rsid w:val="005B4E64"/>
    <w:rsid w:val="005B571B"/>
    <w:rsid w:val="005B5E61"/>
    <w:rsid w:val="005C027D"/>
    <w:rsid w:val="005C02F1"/>
    <w:rsid w:val="005C04E8"/>
    <w:rsid w:val="005C0C45"/>
    <w:rsid w:val="005C1A14"/>
    <w:rsid w:val="005C2302"/>
    <w:rsid w:val="005C37BF"/>
    <w:rsid w:val="005C430D"/>
    <w:rsid w:val="005C4CC4"/>
    <w:rsid w:val="005C4E3D"/>
    <w:rsid w:val="005C6AAE"/>
    <w:rsid w:val="005C7162"/>
    <w:rsid w:val="005D09D1"/>
    <w:rsid w:val="005D1A72"/>
    <w:rsid w:val="005D4884"/>
    <w:rsid w:val="005D4A01"/>
    <w:rsid w:val="005D59B9"/>
    <w:rsid w:val="005D5F18"/>
    <w:rsid w:val="005D657C"/>
    <w:rsid w:val="005D67D7"/>
    <w:rsid w:val="005D6BAC"/>
    <w:rsid w:val="005D734B"/>
    <w:rsid w:val="005D7C6E"/>
    <w:rsid w:val="005E0E73"/>
    <w:rsid w:val="005E2BAF"/>
    <w:rsid w:val="005E3614"/>
    <w:rsid w:val="005E37AB"/>
    <w:rsid w:val="005E4CCD"/>
    <w:rsid w:val="005E526C"/>
    <w:rsid w:val="005E5590"/>
    <w:rsid w:val="005E70C5"/>
    <w:rsid w:val="005E72E7"/>
    <w:rsid w:val="005F0926"/>
    <w:rsid w:val="005F1014"/>
    <w:rsid w:val="005F1241"/>
    <w:rsid w:val="005F18D2"/>
    <w:rsid w:val="005F363A"/>
    <w:rsid w:val="005F4A26"/>
    <w:rsid w:val="005F723D"/>
    <w:rsid w:val="005F7B06"/>
    <w:rsid w:val="006004C2"/>
    <w:rsid w:val="00602082"/>
    <w:rsid w:val="00602899"/>
    <w:rsid w:val="00602E78"/>
    <w:rsid w:val="00602F8C"/>
    <w:rsid w:val="0060340A"/>
    <w:rsid w:val="00605D2C"/>
    <w:rsid w:val="00605D7D"/>
    <w:rsid w:val="00606D48"/>
    <w:rsid w:val="00610259"/>
    <w:rsid w:val="00610AB5"/>
    <w:rsid w:val="00610CD3"/>
    <w:rsid w:val="00611FEE"/>
    <w:rsid w:val="006122A6"/>
    <w:rsid w:val="00612600"/>
    <w:rsid w:val="00613859"/>
    <w:rsid w:val="0061536B"/>
    <w:rsid w:val="006179E2"/>
    <w:rsid w:val="00621F4A"/>
    <w:rsid w:val="00622822"/>
    <w:rsid w:val="00623C91"/>
    <w:rsid w:val="00624ADD"/>
    <w:rsid w:val="0062589E"/>
    <w:rsid w:val="00625DC1"/>
    <w:rsid w:val="00625DD3"/>
    <w:rsid w:val="00627A06"/>
    <w:rsid w:val="00627BCE"/>
    <w:rsid w:val="00630FB4"/>
    <w:rsid w:val="00631517"/>
    <w:rsid w:val="00632427"/>
    <w:rsid w:val="00632DB9"/>
    <w:rsid w:val="00633440"/>
    <w:rsid w:val="0063435E"/>
    <w:rsid w:val="006345C8"/>
    <w:rsid w:val="00634E82"/>
    <w:rsid w:val="00635808"/>
    <w:rsid w:val="00636263"/>
    <w:rsid w:val="00636867"/>
    <w:rsid w:val="00636919"/>
    <w:rsid w:val="00636D80"/>
    <w:rsid w:val="00640589"/>
    <w:rsid w:val="00642D8F"/>
    <w:rsid w:val="00643BE7"/>
    <w:rsid w:val="00644508"/>
    <w:rsid w:val="00644672"/>
    <w:rsid w:val="00646C8F"/>
    <w:rsid w:val="00646CFE"/>
    <w:rsid w:val="00646FD3"/>
    <w:rsid w:val="006505C2"/>
    <w:rsid w:val="00651859"/>
    <w:rsid w:val="00652953"/>
    <w:rsid w:val="00652D47"/>
    <w:rsid w:val="00652D70"/>
    <w:rsid w:val="00652F46"/>
    <w:rsid w:val="006557C7"/>
    <w:rsid w:val="006626A9"/>
    <w:rsid w:val="00662E3C"/>
    <w:rsid w:val="0066359A"/>
    <w:rsid w:val="00663DE4"/>
    <w:rsid w:val="00664421"/>
    <w:rsid w:val="00664CB2"/>
    <w:rsid w:val="00665087"/>
    <w:rsid w:val="0066632D"/>
    <w:rsid w:val="0066674F"/>
    <w:rsid w:val="006678E6"/>
    <w:rsid w:val="0067075C"/>
    <w:rsid w:val="00671766"/>
    <w:rsid w:val="006718BC"/>
    <w:rsid w:val="00672171"/>
    <w:rsid w:val="00672FC1"/>
    <w:rsid w:val="00674B40"/>
    <w:rsid w:val="00676023"/>
    <w:rsid w:val="00676095"/>
    <w:rsid w:val="0067633D"/>
    <w:rsid w:val="00676916"/>
    <w:rsid w:val="00676AE9"/>
    <w:rsid w:val="00677063"/>
    <w:rsid w:val="00680688"/>
    <w:rsid w:val="00680910"/>
    <w:rsid w:val="00680F1D"/>
    <w:rsid w:val="00681172"/>
    <w:rsid w:val="0068330F"/>
    <w:rsid w:val="00683446"/>
    <w:rsid w:val="006856DE"/>
    <w:rsid w:val="00685E23"/>
    <w:rsid w:val="006867DD"/>
    <w:rsid w:val="00687286"/>
    <w:rsid w:val="006878D6"/>
    <w:rsid w:val="00690247"/>
    <w:rsid w:val="00690710"/>
    <w:rsid w:val="0069270C"/>
    <w:rsid w:val="00692928"/>
    <w:rsid w:val="006935FF"/>
    <w:rsid w:val="006938B6"/>
    <w:rsid w:val="00694669"/>
    <w:rsid w:val="006948AE"/>
    <w:rsid w:val="00695197"/>
    <w:rsid w:val="0069663F"/>
    <w:rsid w:val="00697CAF"/>
    <w:rsid w:val="006A00B0"/>
    <w:rsid w:val="006A1441"/>
    <w:rsid w:val="006A29C3"/>
    <w:rsid w:val="006A344F"/>
    <w:rsid w:val="006A416F"/>
    <w:rsid w:val="006A4516"/>
    <w:rsid w:val="006A4E49"/>
    <w:rsid w:val="006A4F04"/>
    <w:rsid w:val="006A6F75"/>
    <w:rsid w:val="006B1AA7"/>
    <w:rsid w:val="006B3579"/>
    <w:rsid w:val="006B427F"/>
    <w:rsid w:val="006B51FA"/>
    <w:rsid w:val="006B521B"/>
    <w:rsid w:val="006B5482"/>
    <w:rsid w:val="006B5F01"/>
    <w:rsid w:val="006B6030"/>
    <w:rsid w:val="006B60A1"/>
    <w:rsid w:val="006B64E2"/>
    <w:rsid w:val="006B6CCA"/>
    <w:rsid w:val="006B6D75"/>
    <w:rsid w:val="006B7C46"/>
    <w:rsid w:val="006C037B"/>
    <w:rsid w:val="006C0493"/>
    <w:rsid w:val="006C09F1"/>
    <w:rsid w:val="006C11BF"/>
    <w:rsid w:val="006C3126"/>
    <w:rsid w:val="006C3EAE"/>
    <w:rsid w:val="006C3F67"/>
    <w:rsid w:val="006C4664"/>
    <w:rsid w:val="006C493F"/>
    <w:rsid w:val="006C4C6A"/>
    <w:rsid w:val="006C4FD4"/>
    <w:rsid w:val="006C618E"/>
    <w:rsid w:val="006C625C"/>
    <w:rsid w:val="006C666F"/>
    <w:rsid w:val="006C71A1"/>
    <w:rsid w:val="006D02A1"/>
    <w:rsid w:val="006D148B"/>
    <w:rsid w:val="006D19F7"/>
    <w:rsid w:val="006D1FCC"/>
    <w:rsid w:val="006D2215"/>
    <w:rsid w:val="006D2A8A"/>
    <w:rsid w:val="006D2BE0"/>
    <w:rsid w:val="006D2E04"/>
    <w:rsid w:val="006D3E1F"/>
    <w:rsid w:val="006D482D"/>
    <w:rsid w:val="006D59FA"/>
    <w:rsid w:val="006D5BD0"/>
    <w:rsid w:val="006D654F"/>
    <w:rsid w:val="006E2544"/>
    <w:rsid w:val="006E2C56"/>
    <w:rsid w:val="006E407B"/>
    <w:rsid w:val="006E5545"/>
    <w:rsid w:val="006E602A"/>
    <w:rsid w:val="006E65A2"/>
    <w:rsid w:val="006E74A3"/>
    <w:rsid w:val="006F0DD5"/>
    <w:rsid w:val="006F2064"/>
    <w:rsid w:val="006F24CE"/>
    <w:rsid w:val="006F34DA"/>
    <w:rsid w:val="006F367D"/>
    <w:rsid w:val="006F3ADD"/>
    <w:rsid w:val="006F41CC"/>
    <w:rsid w:val="006F4222"/>
    <w:rsid w:val="006F42E4"/>
    <w:rsid w:val="006F5FB1"/>
    <w:rsid w:val="006F64C6"/>
    <w:rsid w:val="006F7B7A"/>
    <w:rsid w:val="00700CC0"/>
    <w:rsid w:val="00702113"/>
    <w:rsid w:val="00703F9A"/>
    <w:rsid w:val="00704DD1"/>
    <w:rsid w:val="00707018"/>
    <w:rsid w:val="0070734F"/>
    <w:rsid w:val="00710559"/>
    <w:rsid w:val="00711B9B"/>
    <w:rsid w:val="00711F07"/>
    <w:rsid w:val="00712C77"/>
    <w:rsid w:val="007137C4"/>
    <w:rsid w:val="007139F1"/>
    <w:rsid w:val="00714090"/>
    <w:rsid w:val="00714644"/>
    <w:rsid w:val="007160BC"/>
    <w:rsid w:val="0071631E"/>
    <w:rsid w:val="007168F6"/>
    <w:rsid w:val="00716D03"/>
    <w:rsid w:val="00717018"/>
    <w:rsid w:val="007179B6"/>
    <w:rsid w:val="00720004"/>
    <w:rsid w:val="00720523"/>
    <w:rsid w:val="00720F99"/>
    <w:rsid w:val="00722096"/>
    <w:rsid w:val="00722E08"/>
    <w:rsid w:val="007236DD"/>
    <w:rsid w:val="00723D5B"/>
    <w:rsid w:val="00723E30"/>
    <w:rsid w:val="00725718"/>
    <w:rsid w:val="00725994"/>
    <w:rsid w:val="007263D1"/>
    <w:rsid w:val="00726497"/>
    <w:rsid w:val="007318A2"/>
    <w:rsid w:val="00731C67"/>
    <w:rsid w:val="007320A4"/>
    <w:rsid w:val="00732562"/>
    <w:rsid w:val="00732BD8"/>
    <w:rsid w:val="007330D8"/>
    <w:rsid w:val="0073358E"/>
    <w:rsid w:val="0073462E"/>
    <w:rsid w:val="00735117"/>
    <w:rsid w:val="007358AA"/>
    <w:rsid w:val="00735AFA"/>
    <w:rsid w:val="007374EE"/>
    <w:rsid w:val="00737A49"/>
    <w:rsid w:val="00737BF4"/>
    <w:rsid w:val="00740121"/>
    <w:rsid w:val="00740451"/>
    <w:rsid w:val="00740C17"/>
    <w:rsid w:val="00740F58"/>
    <w:rsid w:val="0074188D"/>
    <w:rsid w:val="00741E31"/>
    <w:rsid w:val="00743AAC"/>
    <w:rsid w:val="0074471F"/>
    <w:rsid w:val="0074648A"/>
    <w:rsid w:val="007472CC"/>
    <w:rsid w:val="00747A0A"/>
    <w:rsid w:val="00750E7E"/>
    <w:rsid w:val="00751858"/>
    <w:rsid w:val="00751E19"/>
    <w:rsid w:val="0075363A"/>
    <w:rsid w:val="007549F1"/>
    <w:rsid w:val="007554EE"/>
    <w:rsid w:val="00755BA2"/>
    <w:rsid w:val="007566AD"/>
    <w:rsid w:val="00756CC5"/>
    <w:rsid w:val="007610F7"/>
    <w:rsid w:val="00761214"/>
    <w:rsid w:val="00761508"/>
    <w:rsid w:val="00761846"/>
    <w:rsid w:val="00761981"/>
    <w:rsid w:val="00762247"/>
    <w:rsid w:val="007625B4"/>
    <w:rsid w:val="00762902"/>
    <w:rsid w:val="00762CEA"/>
    <w:rsid w:val="00762DED"/>
    <w:rsid w:val="00766F40"/>
    <w:rsid w:val="00767EDD"/>
    <w:rsid w:val="007702F8"/>
    <w:rsid w:val="00771739"/>
    <w:rsid w:val="007723E3"/>
    <w:rsid w:val="007725A9"/>
    <w:rsid w:val="00772A3A"/>
    <w:rsid w:val="00774956"/>
    <w:rsid w:val="00774B2C"/>
    <w:rsid w:val="007751AF"/>
    <w:rsid w:val="00775413"/>
    <w:rsid w:val="00775CD6"/>
    <w:rsid w:val="00775E15"/>
    <w:rsid w:val="00780326"/>
    <w:rsid w:val="00782DC5"/>
    <w:rsid w:val="00783F3C"/>
    <w:rsid w:val="007848B9"/>
    <w:rsid w:val="00786772"/>
    <w:rsid w:val="007900E0"/>
    <w:rsid w:val="007901FF"/>
    <w:rsid w:val="00790847"/>
    <w:rsid w:val="00790DA0"/>
    <w:rsid w:val="00792B46"/>
    <w:rsid w:val="007935AE"/>
    <w:rsid w:val="00793BB6"/>
    <w:rsid w:val="00794A91"/>
    <w:rsid w:val="00794D55"/>
    <w:rsid w:val="00795976"/>
    <w:rsid w:val="007A0D4A"/>
    <w:rsid w:val="007A19CD"/>
    <w:rsid w:val="007A1C0E"/>
    <w:rsid w:val="007A2C28"/>
    <w:rsid w:val="007A355C"/>
    <w:rsid w:val="007A3A58"/>
    <w:rsid w:val="007A416B"/>
    <w:rsid w:val="007A4334"/>
    <w:rsid w:val="007A48BC"/>
    <w:rsid w:val="007A4A0B"/>
    <w:rsid w:val="007A4B2D"/>
    <w:rsid w:val="007A67FA"/>
    <w:rsid w:val="007B2908"/>
    <w:rsid w:val="007B3145"/>
    <w:rsid w:val="007B429F"/>
    <w:rsid w:val="007B5D64"/>
    <w:rsid w:val="007B631B"/>
    <w:rsid w:val="007B6A3E"/>
    <w:rsid w:val="007B7920"/>
    <w:rsid w:val="007C0B8A"/>
    <w:rsid w:val="007C12B8"/>
    <w:rsid w:val="007C1312"/>
    <w:rsid w:val="007C4AD9"/>
    <w:rsid w:val="007C5353"/>
    <w:rsid w:val="007C5CF4"/>
    <w:rsid w:val="007C6B05"/>
    <w:rsid w:val="007D005B"/>
    <w:rsid w:val="007D07FA"/>
    <w:rsid w:val="007D0E49"/>
    <w:rsid w:val="007D190A"/>
    <w:rsid w:val="007D191F"/>
    <w:rsid w:val="007D1ACE"/>
    <w:rsid w:val="007D57CF"/>
    <w:rsid w:val="007D5FBE"/>
    <w:rsid w:val="007D6CA7"/>
    <w:rsid w:val="007D7638"/>
    <w:rsid w:val="007D7B85"/>
    <w:rsid w:val="007E0047"/>
    <w:rsid w:val="007E2419"/>
    <w:rsid w:val="007E2E58"/>
    <w:rsid w:val="007E523A"/>
    <w:rsid w:val="007E5336"/>
    <w:rsid w:val="007E56E0"/>
    <w:rsid w:val="007E56F3"/>
    <w:rsid w:val="007E64F1"/>
    <w:rsid w:val="007E7619"/>
    <w:rsid w:val="007E7653"/>
    <w:rsid w:val="007F03EC"/>
    <w:rsid w:val="007F13B1"/>
    <w:rsid w:val="007F2099"/>
    <w:rsid w:val="007F2C73"/>
    <w:rsid w:val="007F3185"/>
    <w:rsid w:val="007F43B7"/>
    <w:rsid w:val="007F4BE3"/>
    <w:rsid w:val="007F4D0B"/>
    <w:rsid w:val="007F58A6"/>
    <w:rsid w:val="007F6395"/>
    <w:rsid w:val="007F6841"/>
    <w:rsid w:val="007F6FDE"/>
    <w:rsid w:val="007F74C7"/>
    <w:rsid w:val="007F7752"/>
    <w:rsid w:val="007F7AAF"/>
    <w:rsid w:val="00800E30"/>
    <w:rsid w:val="00803FE3"/>
    <w:rsid w:val="008040A1"/>
    <w:rsid w:val="00805248"/>
    <w:rsid w:val="008059BB"/>
    <w:rsid w:val="00805C93"/>
    <w:rsid w:val="00812E0E"/>
    <w:rsid w:val="008150F6"/>
    <w:rsid w:val="00815301"/>
    <w:rsid w:val="00815F91"/>
    <w:rsid w:val="00816046"/>
    <w:rsid w:val="0081771B"/>
    <w:rsid w:val="00817D37"/>
    <w:rsid w:val="00820524"/>
    <w:rsid w:val="00821847"/>
    <w:rsid w:val="008218E6"/>
    <w:rsid w:val="0082291D"/>
    <w:rsid w:val="00822B33"/>
    <w:rsid w:val="0082603C"/>
    <w:rsid w:val="00826F4A"/>
    <w:rsid w:val="00827DE8"/>
    <w:rsid w:val="008305EE"/>
    <w:rsid w:val="00831447"/>
    <w:rsid w:val="008321A9"/>
    <w:rsid w:val="00833271"/>
    <w:rsid w:val="00833AEF"/>
    <w:rsid w:val="0083421C"/>
    <w:rsid w:val="00834759"/>
    <w:rsid w:val="00834906"/>
    <w:rsid w:val="00835D6B"/>
    <w:rsid w:val="00836800"/>
    <w:rsid w:val="008369E0"/>
    <w:rsid w:val="008401A4"/>
    <w:rsid w:val="00840A30"/>
    <w:rsid w:val="00842064"/>
    <w:rsid w:val="008425C8"/>
    <w:rsid w:val="00842FC6"/>
    <w:rsid w:val="00846C2B"/>
    <w:rsid w:val="00846DAA"/>
    <w:rsid w:val="00847725"/>
    <w:rsid w:val="00847F0B"/>
    <w:rsid w:val="00847FD7"/>
    <w:rsid w:val="00850802"/>
    <w:rsid w:val="008509F9"/>
    <w:rsid w:val="00850C1C"/>
    <w:rsid w:val="00850CBC"/>
    <w:rsid w:val="00850F2B"/>
    <w:rsid w:val="008510D8"/>
    <w:rsid w:val="00851D1C"/>
    <w:rsid w:val="00852B2B"/>
    <w:rsid w:val="0085344B"/>
    <w:rsid w:val="00856902"/>
    <w:rsid w:val="00856AD8"/>
    <w:rsid w:val="0085767E"/>
    <w:rsid w:val="0085792D"/>
    <w:rsid w:val="00861860"/>
    <w:rsid w:val="00862177"/>
    <w:rsid w:val="0086263B"/>
    <w:rsid w:val="00864F01"/>
    <w:rsid w:val="00866367"/>
    <w:rsid w:val="0086678F"/>
    <w:rsid w:val="0086737F"/>
    <w:rsid w:val="00872D08"/>
    <w:rsid w:val="008733D0"/>
    <w:rsid w:val="00873671"/>
    <w:rsid w:val="00874D04"/>
    <w:rsid w:val="0087528C"/>
    <w:rsid w:val="0087547C"/>
    <w:rsid w:val="00875B93"/>
    <w:rsid w:val="008771BC"/>
    <w:rsid w:val="00877766"/>
    <w:rsid w:val="008778BE"/>
    <w:rsid w:val="00877918"/>
    <w:rsid w:val="008811FD"/>
    <w:rsid w:val="00882025"/>
    <w:rsid w:val="00882C30"/>
    <w:rsid w:val="00883730"/>
    <w:rsid w:val="008841C7"/>
    <w:rsid w:val="0088541D"/>
    <w:rsid w:val="008854D0"/>
    <w:rsid w:val="00886A3E"/>
    <w:rsid w:val="008877D2"/>
    <w:rsid w:val="00887F18"/>
    <w:rsid w:val="008917DE"/>
    <w:rsid w:val="00891B6B"/>
    <w:rsid w:val="008948D6"/>
    <w:rsid w:val="00895566"/>
    <w:rsid w:val="00897608"/>
    <w:rsid w:val="008A163F"/>
    <w:rsid w:val="008A31BC"/>
    <w:rsid w:val="008A321F"/>
    <w:rsid w:val="008A36A0"/>
    <w:rsid w:val="008A377B"/>
    <w:rsid w:val="008A37CA"/>
    <w:rsid w:val="008A6335"/>
    <w:rsid w:val="008B17F9"/>
    <w:rsid w:val="008B1AE0"/>
    <w:rsid w:val="008B3B2C"/>
    <w:rsid w:val="008B3C7C"/>
    <w:rsid w:val="008B4474"/>
    <w:rsid w:val="008B50C4"/>
    <w:rsid w:val="008B51B7"/>
    <w:rsid w:val="008B53E2"/>
    <w:rsid w:val="008B6C1F"/>
    <w:rsid w:val="008B7AEC"/>
    <w:rsid w:val="008C14F4"/>
    <w:rsid w:val="008C1A1B"/>
    <w:rsid w:val="008C24DD"/>
    <w:rsid w:val="008C3D31"/>
    <w:rsid w:val="008C455D"/>
    <w:rsid w:val="008C4DB4"/>
    <w:rsid w:val="008C52ED"/>
    <w:rsid w:val="008C5E33"/>
    <w:rsid w:val="008C6FEE"/>
    <w:rsid w:val="008D0271"/>
    <w:rsid w:val="008D0FC9"/>
    <w:rsid w:val="008D14BA"/>
    <w:rsid w:val="008D2109"/>
    <w:rsid w:val="008D34BD"/>
    <w:rsid w:val="008D3A4E"/>
    <w:rsid w:val="008D4048"/>
    <w:rsid w:val="008D4105"/>
    <w:rsid w:val="008D434B"/>
    <w:rsid w:val="008D495B"/>
    <w:rsid w:val="008D5B40"/>
    <w:rsid w:val="008D5D6F"/>
    <w:rsid w:val="008D62B4"/>
    <w:rsid w:val="008D7B74"/>
    <w:rsid w:val="008E2278"/>
    <w:rsid w:val="008E2302"/>
    <w:rsid w:val="008E2955"/>
    <w:rsid w:val="008E2F16"/>
    <w:rsid w:val="008E35E3"/>
    <w:rsid w:val="008E46B9"/>
    <w:rsid w:val="008E51D7"/>
    <w:rsid w:val="008E63EC"/>
    <w:rsid w:val="008E663B"/>
    <w:rsid w:val="008E74ED"/>
    <w:rsid w:val="008F0302"/>
    <w:rsid w:val="008F1949"/>
    <w:rsid w:val="008F2084"/>
    <w:rsid w:val="008F240C"/>
    <w:rsid w:val="008F3776"/>
    <w:rsid w:val="008F3BB9"/>
    <w:rsid w:val="008F404F"/>
    <w:rsid w:val="008F4312"/>
    <w:rsid w:val="008F474C"/>
    <w:rsid w:val="008F65AA"/>
    <w:rsid w:val="008F7C48"/>
    <w:rsid w:val="00900B71"/>
    <w:rsid w:val="0090106B"/>
    <w:rsid w:val="00901900"/>
    <w:rsid w:val="00901A47"/>
    <w:rsid w:val="0090202C"/>
    <w:rsid w:val="00902828"/>
    <w:rsid w:val="009032A9"/>
    <w:rsid w:val="009045F3"/>
    <w:rsid w:val="00904B7A"/>
    <w:rsid w:val="00905408"/>
    <w:rsid w:val="009062E0"/>
    <w:rsid w:val="00906D2F"/>
    <w:rsid w:val="00906E20"/>
    <w:rsid w:val="00910932"/>
    <w:rsid w:val="00910D67"/>
    <w:rsid w:val="00911ECF"/>
    <w:rsid w:val="009120D2"/>
    <w:rsid w:val="0091235C"/>
    <w:rsid w:val="0091257A"/>
    <w:rsid w:val="00912EA9"/>
    <w:rsid w:val="009136FE"/>
    <w:rsid w:val="00914289"/>
    <w:rsid w:val="00915821"/>
    <w:rsid w:val="009158AB"/>
    <w:rsid w:val="00915F12"/>
    <w:rsid w:val="00915F67"/>
    <w:rsid w:val="00922C8F"/>
    <w:rsid w:val="00922D30"/>
    <w:rsid w:val="00925CFC"/>
    <w:rsid w:val="00930278"/>
    <w:rsid w:val="00930648"/>
    <w:rsid w:val="0093082B"/>
    <w:rsid w:val="0093251E"/>
    <w:rsid w:val="009328A7"/>
    <w:rsid w:val="0093486E"/>
    <w:rsid w:val="00935404"/>
    <w:rsid w:val="009419BC"/>
    <w:rsid w:val="009441FC"/>
    <w:rsid w:val="0094507F"/>
    <w:rsid w:val="009470D3"/>
    <w:rsid w:val="009473E4"/>
    <w:rsid w:val="00950C7A"/>
    <w:rsid w:val="00951993"/>
    <w:rsid w:val="009530D5"/>
    <w:rsid w:val="009537D7"/>
    <w:rsid w:val="00954016"/>
    <w:rsid w:val="00956C94"/>
    <w:rsid w:val="00957264"/>
    <w:rsid w:val="00962862"/>
    <w:rsid w:val="00963BA9"/>
    <w:rsid w:val="0096410D"/>
    <w:rsid w:val="00966D01"/>
    <w:rsid w:val="00967A50"/>
    <w:rsid w:val="00967BC5"/>
    <w:rsid w:val="0097288D"/>
    <w:rsid w:val="00973918"/>
    <w:rsid w:val="00975066"/>
    <w:rsid w:val="009754F5"/>
    <w:rsid w:val="00976865"/>
    <w:rsid w:val="009773DA"/>
    <w:rsid w:val="00980DC4"/>
    <w:rsid w:val="00980E00"/>
    <w:rsid w:val="00982F97"/>
    <w:rsid w:val="009831EC"/>
    <w:rsid w:val="009864EC"/>
    <w:rsid w:val="0098788A"/>
    <w:rsid w:val="00987F13"/>
    <w:rsid w:val="00990750"/>
    <w:rsid w:val="00990CDC"/>
    <w:rsid w:val="00990D06"/>
    <w:rsid w:val="00990D83"/>
    <w:rsid w:val="00992A1C"/>
    <w:rsid w:val="00992C61"/>
    <w:rsid w:val="0099432D"/>
    <w:rsid w:val="00994EED"/>
    <w:rsid w:val="00995E99"/>
    <w:rsid w:val="00996803"/>
    <w:rsid w:val="00996D02"/>
    <w:rsid w:val="009977E6"/>
    <w:rsid w:val="00997CCB"/>
    <w:rsid w:val="009A05E7"/>
    <w:rsid w:val="009A06C2"/>
    <w:rsid w:val="009A074C"/>
    <w:rsid w:val="009A09C9"/>
    <w:rsid w:val="009A0A92"/>
    <w:rsid w:val="009A0D9A"/>
    <w:rsid w:val="009A1037"/>
    <w:rsid w:val="009A2D50"/>
    <w:rsid w:val="009A2E11"/>
    <w:rsid w:val="009A3CD4"/>
    <w:rsid w:val="009A402C"/>
    <w:rsid w:val="009A420F"/>
    <w:rsid w:val="009A51A8"/>
    <w:rsid w:val="009A5723"/>
    <w:rsid w:val="009A5DAB"/>
    <w:rsid w:val="009A6E38"/>
    <w:rsid w:val="009A71B8"/>
    <w:rsid w:val="009A7AE3"/>
    <w:rsid w:val="009A7B01"/>
    <w:rsid w:val="009B1238"/>
    <w:rsid w:val="009B1391"/>
    <w:rsid w:val="009B1B56"/>
    <w:rsid w:val="009B1BC4"/>
    <w:rsid w:val="009B292A"/>
    <w:rsid w:val="009B35F1"/>
    <w:rsid w:val="009B6FC2"/>
    <w:rsid w:val="009C1E1A"/>
    <w:rsid w:val="009C1FFB"/>
    <w:rsid w:val="009C2607"/>
    <w:rsid w:val="009C39EA"/>
    <w:rsid w:val="009C3E03"/>
    <w:rsid w:val="009C4056"/>
    <w:rsid w:val="009C4BBE"/>
    <w:rsid w:val="009C5DD3"/>
    <w:rsid w:val="009C63A5"/>
    <w:rsid w:val="009C6FBC"/>
    <w:rsid w:val="009D0655"/>
    <w:rsid w:val="009D070E"/>
    <w:rsid w:val="009D0859"/>
    <w:rsid w:val="009D13AA"/>
    <w:rsid w:val="009D1A3A"/>
    <w:rsid w:val="009D1C55"/>
    <w:rsid w:val="009D26CA"/>
    <w:rsid w:val="009D44A6"/>
    <w:rsid w:val="009D599E"/>
    <w:rsid w:val="009D6307"/>
    <w:rsid w:val="009D7426"/>
    <w:rsid w:val="009E0A2B"/>
    <w:rsid w:val="009E2436"/>
    <w:rsid w:val="009E2F02"/>
    <w:rsid w:val="009E34DA"/>
    <w:rsid w:val="009E3EA9"/>
    <w:rsid w:val="009E529C"/>
    <w:rsid w:val="009E6329"/>
    <w:rsid w:val="009E66D9"/>
    <w:rsid w:val="009E71D0"/>
    <w:rsid w:val="009E7730"/>
    <w:rsid w:val="009F2175"/>
    <w:rsid w:val="009F2C15"/>
    <w:rsid w:val="009F2E83"/>
    <w:rsid w:val="009F3C8A"/>
    <w:rsid w:val="009F5175"/>
    <w:rsid w:val="009F52A9"/>
    <w:rsid w:val="009F5AA9"/>
    <w:rsid w:val="009F5D8E"/>
    <w:rsid w:val="009F78FB"/>
    <w:rsid w:val="00A0155C"/>
    <w:rsid w:val="00A020C1"/>
    <w:rsid w:val="00A02193"/>
    <w:rsid w:val="00A026D0"/>
    <w:rsid w:val="00A029DD"/>
    <w:rsid w:val="00A02EB8"/>
    <w:rsid w:val="00A03185"/>
    <w:rsid w:val="00A042B6"/>
    <w:rsid w:val="00A0464C"/>
    <w:rsid w:val="00A046A7"/>
    <w:rsid w:val="00A0518E"/>
    <w:rsid w:val="00A0730F"/>
    <w:rsid w:val="00A075EC"/>
    <w:rsid w:val="00A07BFD"/>
    <w:rsid w:val="00A07D3E"/>
    <w:rsid w:val="00A10C96"/>
    <w:rsid w:val="00A111F2"/>
    <w:rsid w:val="00A11C40"/>
    <w:rsid w:val="00A1269F"/>
    <w:rsid w:val="00A13EF6"/>
    <w:rsid w:val="00A149C2"/>
    <w:rsid w:val="00A170BF"/>
    <w:rsid w:val="00A256E5"/>
    <w:rsid w:val="00A26B65"/>
    <w:rsid w:val="00A274E0"/>
    <w:rsid w:val="00A30268"/>
    <w:rsid w:val="00A30DDF"/>
    <w:rsid w:val="00A32924"/>
    <w:rsid w:val="00A3373E"/>
    <w:rsid w:val="00A337F7"/>
    <w:rsid w:val="00A33A7C"/>
    <w:rsid w:val="00A35412"/>
    <w:rsid w:val="00A35541"/>
    <w:rsid w:val="00A35938"/>
    <w:rsid w:val="00A36994"/>
    <w:rsid w:val="00A36B15"/>
    <w:rsid w:val="00A36F14"/>
    <w:rsid w:val="00A406F0"/>
    <w:rsid w:val="00A427DC"/>
    <w:rsid w:val="00A430EB"/>
    <w:rsid w:val="00A4491F"/>
    <w:rsid w:val="00A4702B"/>
    <w:rsid w:val="00A47A2E"/>
    <w:rsid w:val="00A504C8"/>
    <w:rsid w:val="00A51016"/>
    <w:rsid w:val="00A51718"/>
    <w:rsid w:val="00A51748"/>
    <w:rsid w:val="00A517F5"/>
    <w:rsid w:val="00A52893"/>
    <w:rsid w:val="00A52B78"/>
    <w:rsid w:val="00A53F6F"/>
    <w:rsid w:val="00A544E0"/>
    <w:rsid w:val="00A549AF"/>
    <w:rsid w:val="00A54A16"/>
    <w:rsid w:val="00A553BE"/>
    <w:rsid w:val="00A55A7F"/>
    <w:rsid w:val="00A5650E"/>
    <w:rsid w:val="00A56D31"/>
    <w:rsid w:val="00A574EE"/>
    <w:rsid w:val="00A57533"/>
    <w:rsid w:val="00A60C05"/>
    <w:rsid w:val="00A611E6"/>
    <w:rsid w:val="00A62C64"/>
    <w:rsid w:val="00A63047"/>
    <w:rsid w:val="00A666A3"/>
    <w:rsid w:val="00A6762C"/>
    <w:rsid w:val="00A700A4"/>
    <w:rsid w:val="00A73A49"/>
    <w:rsid w:val="00A74020"/>
    <w:rsid w:val="00A74948"/>
    <w:rsid w:val="00A74DA9"/>
    <w:rsid w:val="00A758DA"/>
    <w:rsid w:val="00A760A4"/>
    <w:rsid w:val="00A77247"/>
    <w:rsid w:val="00A77973"/>
    <w:rsid w:val="00A802A7"/>
    <w:rsid w:val="00A8053D"/>
    <w:rsid w:val="00A80821"/>
    <w:rsid w:val="00A82160"/>
    <w:rsid w:val="00A83727"/>
    <w:rsid w:val="00A84500"/>
    <w:rsid w:val="00A8553F"/>
    <w:rsid w:val="00A86724"/>
    <w:rsid w:val="00A86B5B"/>
    <w:rsid w:val="00A87E40"/>
    <w:rsid w:val="00A90632"/>
    <w:rsid w:val="00A90C04"/>
    <w:rsid w:val="00A9176B"/>
    <w:rsid w:val="00A918F0"/>
    <w:rsid w:val="00A92F55"/>
    <w:rsid w:val="00A960CA"/>
    <w:rsid w:val="00A971EE"/>
    <w:rsid w:val="00A979AC"/>
    <w:rsid w:val="00AA026F"/>
    <w:rsid w:val="00AA04D8"/>
    <w:rsid w:val="00AA0B0C"/>
    <w:rsid w:val="00AA12C8"/>
    <w:rsid w:val="00AA1AE2"/>
    <w:rsid w:val="00AA1E26"/>
    <w:rsid w:val="00AA50A4"/>
    <w:rsid w:val="00AA75F5"/>
    <w:rsid w:val="00AB102C"/>
    <w:rsid w:val="00AB18B4"/>
    <w:rsid w:val="00AB2A5B"/>
    <w:rsid w:val="00AB35D4"/>
    <w:rsid w:val="00AB5985"/>
    <w:rsid w:val="00AB63ED"/>
    <w:rsid w:val="00AB6A3D"/>
    <w:rsid w:val="00AB6B05"/>
    <w:rsid w:val="00AB7BF1"/>
    <w:rsid w:val="00AC02D1"/>
    <w:rsid w:val="00AC04FE"/>
    <w:rsid w:val="00AC094C"/>
    <w:rsid w:val="00AC0A14"/>
    <w:rsid w:val="00AC0D7E"/>
    <w:rsid w:val="00AC2862"/>
    <w:rsid w:val="00AC2A0C"/>
    <w:rsid w:val="00AC3130"/>
    <w:rsid w:val="00AC319E"/>
    <w:rsid w:val="00AC3BD2"/>
    <w:rsid w:val="00AC484B"/>
    <w:rsid w:val="00AC4966"/>
    <w:rsid w:val="00AC707C"/>
    <w:rsid w:val="00AD03F8"/>
    <w:rsid w:val="00AD0C45"/>
    <w:rsid w:val="00AD131A"/>
    <w:rsid w:val="00AD1DE6"/>
    <w:rsid w:val="00AD30E9"/>
    <w:rsid w:val="00AD36B8"/>
    <w:rsid w:val="00AD44E5"/>
    <w:rsid w:val="00AD55C0"/>
    <w:rsid w:val="00AD6E77"/>
    <w:rsid w:val="00AD7CE8"/>
    <w:rsid w:val="00AE0A0E"/>
    <w:rsid w:val="00AE0A3F"/>
    <w:rsid w:val="00AE0ADC"/>
    <w:rsid w:val="00AE2894"/>
    <w:rsid w:val="00AE3F6E"/>
    <w:rsid w:val="00AE485A"/>
    <w:rsid w:val="00AE485F"/>
    <w:rsid w:val="00AE50EC"/>
    <w:rsid w:val="00AE52C9"/>
    <w:rsid w:val="00AE52E5"/>
    <w:rsid w:val="00AE6C2A"/>
    <w:rsid w:val="00AE7A74"/>
    <w:rsid w:val="00AF17E4"/>
    <w:rsid w:val="00AF34E1"/>
    <w:rsid w:val="00AF3D83"/>
    <w:rsid w:val="00AF3EC9"/>
    <w:rsid w:val="00AF40EC"/>
    <w:rsid w:val="00AF41CE"/>
    <w:rsid w:val="00AF5DBA"/>
    <w:rsid w:val="00AF5ECC"/>
    <w:rsid w:val="00AF713F"/>
    <w:rsid w:val="00AF748D"/>
    <w:rsid w:val="00AF7B14"/>
    <w:rsid w:val="00AF7B65"/>
    <w:rsid w:val="00B0012F"/>
    <w:rsid w:val="00B004BF"/>
    <w:rsid w:val="00B01180"/>
    <w:rsid w:val="00B01B15"/>
    <w:rsid w:val="00B03548"/>
    <w:rsid w:val="00B03726"/>
    <w:rsid w:val="00B03785"/>
    <w:rsid w:val="00B03DAB"/>
    <w:rsid w:val="00B04DF5"/>
    <w:rsid w:val="00B06BCF"/>
    <w:rsid w:val="00B06DE7"/>
    <w:rsid w:val="00B10273"/>
    <w:rsid w:val="00B11547"/>
    <w:rsid w:val="00B13119"/>
    <w:rsid w:val="00B139C3"/>
    <w:rsid w:val="00B14C0B"/>
    <w:rsid w:val="00B16A5E"/>
    <w:rsid w:val="00B206EF"/>
    <w:rsid w:val="00B20798"/>
    <w:rsid w:val="00B208C2"/>
    <w:rsid w:val="00B20F6B"/>
    <w:rsid w:val="00B2238E"/>
    <w:rsid w:val="00B22C45"/>
    <w:rsid w:val="00B22C80"/>
    <w:rsid w:val="00B22F6E"/>
    <w:rsid w:val="00B22F7E"/>
    <w:rsid w:val="00B23ACB"/>
    <w:rsid w:val="00B23C6D"/>
    <w:rsid w:val="00B245D4"/>
    <w:rsid w:val="00B24A76"/>
    <w:rsid w:val="00B254B1"/>
    <w:rsid w:val="00B25891"/>
    <w:rsid w:val="00B309F2"/>
    <w:rsid w:val="00B31B2A"/>
    <w:rsid w:val="00B322A1"/>
    <w:rsid w:val="00B32373"/>
    <w:rsid w:val="00B3321A"/>
    <w:rsid w:val="00B33CB2"/>
    <w:rsid w:val="00B401FD"/>
    <w:rsid w:val="00B40D04"/>
    <w:rsid w:val="00B41348"/>
    <w:rsid w:val="00B41B82"/>
    <w:rsid w:val="00B4299C"/>
    <w:rsid w:val="00B42EFC"/>
    <w:rsid w:val="00B4512C"/>
    <w:rsid w:val="00B46717"/>
    <w:rsid w:val="00B46732"/>
    <w:rsid w:val="00B47EEC"/>
    <w:rsid w:val="00B5226C"/>
    <w:rsid w:val="00B5264B"/>
    <w:rsid w:val="00B54CD6"/>
    <w:rsid w:val="00B564D2"/>
    <w:rsid w:val="00B565E7"/>
    <w:rsid w:val="00B600A4"/>
    <w:rsid w:val="00B608D0"/>
    <w:rsid w:val="00B61335"/>
    <w:rsid w:val="00B627E6"/>
    <w:rsid w:val="00B63475"/>
    <w:rsid w:val="00B64488"/>
    <w:rsid w:val="00B64C7B"/>
    <w:rsid w:val="00B67FCA"/>
    <w:rsid w:val="00B7029D"/>
    <w:rsid w:val="00B70F24"/>
    <w:rsid w:val="00B724C5"/>
    <w:rsid w:val="00B74F31"/>
    <w:rsid w:val="00B7712F"/>
    <w:rsid w:val="00B77545"/>
    <w:rsid w:val="00B77702"/>
    <w:rsid w:val="00B77B8C"/>
    <w:rsid w:val="00B77CEF"/>
    <w:rsid w:val="00B81578"/>
    <w:rsid w:val="00B81937"/>
    <w:rsid w:val="00B8271E"/>
    <w:rsid w:val="00B83B5A"/>
    <w:rsid w:val="00B84DF2"/>
    <w:rsid w:val="00B85AB3"/>
    <w:rsid w:val="00B85C9A"/>
    <w:rsid w:val="00B8667A"/>
    <w:rsid w:val="00B9041F"/>
    <w:rsid w:val="00B91133"/>
    <w:rsid w:val="00B913FB"/>
    <w:rsid w:val="00B91602"/>
    <w:rsid w:val="00B91D28"/>
    <w:rsid w:val="00B929EE"/>
    <w:rsid w:val="00B959CF"/>
    <w:rsid w:val="00B97C7D"/>
    <w:rsid w:val="00BA0DD3"/>
    <w:rsid w:val="00BA11DF"/>
    <w:rsid w:val="00BA11E9"/>
    <w:rsid w:val="00BA124E"/>
    <w:rsid w:val="00BA2C40"/>
    <w:rsid w:val="00BA3570"/>
    <w:rsid w:val="00BA4588"/>
    <w:rsid w:val="00BA62DA"/>
    <w:rsid w:val="00BA70C1"/>
    <w:rsid w:val="00BA7CA4"/>
    <w:rsid w:val="00BB0152"/>
    <w:rsid w:val="00BB1640"/>
    <w:rsid w:val="00BB31B4"/>
    <w:rsid w:val="00BB3EE5"/>
    <w:rsid w:val="00BB4056"/>
    <w:rsid w:val="00BB5CEA"/>
    <w:rsid w:val="00BB66C1"/>
    <w:rsid w:val="00BC0FEA"/>
    <w:rsid w:val="00BC122D"/>
    <w:rsid w:val="00BC1A0B"/>
    <w:rsid w:val="00BC1D8A"/>
    <w:rsid w:val="00BC282F"/>
    <w:rsid w:val="00BC2A35"/>
    <w:rsid w:val="00BC5336"/>
    <w:rsid w:val="00BC58DA"/>
    <w:rsid w:val="00BC63DD"/>
    <w:rsid w:val="00BC71FF"/>
    <w:rsid w:val="00BD1012"/>
    <w:rsid w:val="00BD1F49"/>
    <w:rsid w:val="00BD23CA"/>
    <w:rsid w:val="00BD3A32"/>
    <w:rsid w:val="00BD4296"/>
    <w:rsid w:val="00BD46E3"/>
    <w:rsid w:val="00BD497E"/>
    <w:rsid w:val="00BD4DF2"/>
    <w:rsid w:val="00BD5F8D"/>
    <w:rsid w:val="00BD7AC8"/>
    <w:rsid w:val="00BE2783"/>
    <w:rsid w:val="00BE3245"/>
    <w:rsid w:val="00BE45B3"/>
    <w:rsid w:val="00BE691C"/>
    <w:rsid w:val="00BE6AE1"/>
    <w:rsid w:val="00BF1386"/>
    <w:rsid w:val="00BF1610"/>
    <w:rsid w:val="00BF199D"/>
    <w:rsid w:val="00BF2552"/>
    <w:rsid w:val="00BF27AF"/>
    <w:rsid w:val="00C00C6D"/>
    <w:rsid w:val="00C030A5"/>
    <w:rsid w:val="00C0310C"/>
    <w:rsid w:val="00C03B39"/>
    <w:rsid w:val="00C0517F"/>
    <w:rsid w:val="00C063C5"/>
    <w:rsid w:val="00C06C8E"/>
    <w:rsid w:val="00C06EE8"/>
    <w:rsid w:val="00C076AC"/>
    <w:rsid w:val="00C10024"/>
    <w:rsid w:val="00C11ACB"/>
    <w:rsid w:val="00C12185"/>
    <w:rsid w:val="00C12DAA"/>
    <w:rsid w:val="00C132E7"/>
    <w:rsid w:val="00C13360"/>
    <w:rsid w:val="00C1382F"/>
    <w:rsid w:val="00C13D4B"/>
    <w:rsid w:val="00C14138"/>
    <w:rsid w:val="00C147B6"/>
    <w:rsid w:val="00C1586A"/>
    <w:rsid w:val="00C16062"/>
    <w:rsid w:val="00C16E13"/>
    <w:rsid w:val="00C1731C"/>
    <w:rsid w:val="00C17685"/>
    <w:rsid w:val="00C17B56"/>
    <w:rsid w:val="00C17FA3"/>
    <w:rsid w:val="00C2093A"/>
    <w:rsid w:val="00C210F6"/>
    <w:rsid w:val="00C2248B"/>
    <w:rsid w:val="00C2259E"/>
    <w:rsid w:val="00C227A0"/>
    <w:rsid w:val="00C23023"/>
    <w:rsid w:val="00C23384"/>
    <w:rsid w:val="00C239FA"/>
    <w:rsid w:val="00C2457C"/>
    <w:rsid w:val="00C25175"/>
    <w:rsid w:val="00C257AA"/>
    <w:rsid w:val="00C26C2A"/>
    <w:rsid w:val="00C2738A"/>
    <w:rsid w:val="00C27435"/>
    <w:rsid w:val="00C27E56"/>
    <w:rsid w:val="00C30DA7"/>
    <w:rsid w:val="00C323FE"/>
    <w:rsid w:val="00C32A1C"/>
    <w:rsid w:val="00C32B74"/>
    <w:rsid w:val="00C33F7D"/>
    <w:rsid w:val="00C347C1"/>
    <w:rsid w:val="00C350BF"/>
    <w:rsid w:val="00C360C3"/>
    <w:rsid w:val="00C37B8E"/>
    <w:rsid w:val="00C37C65"/>
    <w:rsid w:val="00C37FE1"/>
    <w:rsid w:val="00C40570"/>
    <w:rsid w:val="00C4109A"/>
    <w:rsid w:val="00C41370"/>
    <w:rsid w:val="00C41569"/>
    <w:rsid w:val="00C42817"/>
    <w:rsid w:val="00C42A7E"/>
    <w:rsid w:val="00C42F67"/>
    <w:rsid w:val="00C433E3"/>
    <w:rsid w:val="00C43BDE"/>
    <w:rsid w:val="00C451FF"/>
    <w:rsid w:val="00C46FE9"/>
    <w:rsid w:val="00C47481"/>
    <w:rsid w:val="00C4748B"/>
    <w:rsid w:val="00C478DD"/>
    <w:rsid w:val="00C52D54"/>
    <w:rsid w:val="00C53B2E"/>
    <w:rsid w:val="00C547EB"/>
    <w:rsid w:val="00C549BA"/>
    <w:rsid w:val="00C54BA1"/>
    <w:rsid w:val="00C54D99"/>
    <w:rsid w:val="00C54DDD"/>
    <w:rsid w:val="00C57892"/>
    <w:rsid w:val="00C57D47"/>
    <w:rsid w:val="00C611D4"/>
    <w:rsid w:val="00C61206"/>
    <w:rsid w:val="00C6465F"/>
    <w:rsid w:val="00C65687"/>
    <w:rsid w:val="00C663B1"/>
    <w:rsid w:val="00C6785F"/>
    <w:rsid w:val="00C7281D"/>
    <w:rsid w:val="00C72D14"/>
    <w:rsid w:val="00C733FA"/>
    <w:rsid w:val="00C7633B"/>
    <w:rsid w:val="00C7658F"/>
    <w:rsid w:val="00C76AAD"/>
    <w:rsid w:val="00C76E6A"/>
    <w:rsid w:val="00C80023"/>
    <w:rsid w:val="00C80197"/>
    <w:rsid w:val="00C81552"/>
    <w:rsid w:val="00C845C6"/>
    <w:rsid w:val="00C84861"/>
    <w:rsid w:val="00C84FE6"/>
    <w:rsid w:val="00C85FA6"/>
    <w:rsid w:val="00C86336"/>
    <w:rsid w:val="00C8635D"/>
    <w:rsid w:val="00C864EC"/>
    <w:rsid w:val="00C869D9"/>
    <w:rsid w:val="00C87F9D"/>
    <w:rsid w:val="00C90E70"/>
    <w:rsid w:val="00C9115D"/>
    <w:rsid w:val="00C91D29"/>
    <w:rsid w:val="00C91D33"/>
    <w:rsid w:val="00C91FEC"/>
    <w:rsid w:val="00C92C45"/>
    <w:rsid w:val="00C92E50"/>
    <w:rsid w:val="00C946BE"/>
    <w:rsid w:val="00C948B8"/>
    <w:rsid w:val="00C94A2C"/>
    <w:rsid w:val="00C9520A"/>
    <w:rsid w:val="00C964F5"/>
    <w:rsid w:val="00C96A44"/>
    <w:rsid w:val="00C9720A"/>
    <w:rsid w:val="00C972E8"/>
    <w:rsid w:val="00C97350"/>
    <w:rsid w:val="00CA07CB"/>
    <w:rsid w:val="00CA0A8B"/>
    <w:rsid w:val="00CA15C7"/>
    <w:rsid w:val="00CA20EE"/>
    <w:rsid w:val="00CA2618"/>
    <w:rsid w:val="00CA353C"/>
    <w:rsid w:val="00CA3630"/>
    <w:rsid w:val="00CA4EBE"/>
    <w:rsid w:val="00CA5AEB"/>
    <w:rsid w:val="00CA6166"/>
    <w:rsid w:val="00CA6650"/>
    <w:rsid w:val="00CA72FE"/>
    <w:rsid w:val="00CB27F3"/>
    <w:rsid w:val="00CB3685"/>
    <w:rsid w:val="00CB38C0"/>
    <w:rsid w:val="00CB4C16"/>
    <w:rsid w:val="00CB54D2"/>
    <w:rsid w:val="00CB54F1"/>
    <w:rsid w:val="00CB6265"/>
    <w:rsid w:val="00CB6DC0"/>
    <w:rsid w:val="00CC12C4"/>
    <w:rsid w:val="00CC158A"/>
    <w:rsid w:val="00CC2064"/>
    <w:rsid w:val="00CC20E1"/>
    <w:rsid w:val="00CC2410"/>
    <w:rsid w:val="00CC3AB9"/>
    <w:rsid w:val="00CC5782"/>
    <w:rsid w:val="00CC70BC"/>
    <w:rsid w:val="00CD0028"/>
    <w:rsid w:val="00CD0305"/>
    <w:rsid w:val="00CD0D80"/>
    <w:rsid w:val="00CD2F96"/>
    <w:rsid w:val="00CD37C6"/>
    <w:rsid w:val="00CD3BC9"/>
    <w:rsid w:val="00CD3C87"/>
    <w:rsid w:val="00CD4E6B"/>
    <w:rsid w:val="00CD4E94"/>
    <w:rsid w:val="00CD528D"/>
    <w:rsid w:val="00CD57CD"/>
    <w:rsid w:val="00CE05CB"/>
    <w:rsid w:val="00CE134E"/>
    <w:rsid w:val="00CE18C7"/>
    <w:rsid w:val="00CE1C9D"/>
    <w:rsid w:val="00CE57FB"/>
    <w:rsid w:val="00CE5CB4"/>
    <w:rsid w:val="00CE710C"/>
    <w:rsid w:val="00CE762C"/>
    <w:rsid w:val="00CE7C4C"/>
    <w:rsid w:val="00CF04AA"/>
    <w:rsid w:val="00CF0B00"/>
    <w:rsid w:val="00CF0F29"/>
    <w:rsid w:val="00CF1011"/>
    <w:rsid w:val="00CF1982"/>
    <w:rsid w:val="00CF3252"/>
    <w:rsid w:val="00CF4459"/>
    <w:rsid w:val="00CF475B"/>
    <w:rsid w:val="00CF479F"/>
    <w:rsid w:val="00CF4CC8"/>
    <w:rsid w:val="00CF4DE3"/>
    <w:rsid w:val="00CF4FA1"/>
    <w:rsid w:val="00CF55C1"/>
    <w:rsid w:val="00CF7540"/>
    <w:rsid w:val="00CF7706"/>
    <w:rsid w:val="00CF7FAB"/>
    <w:rsid w:val="00D00AC5"/>
    <w:rsid w:val="00D02FC1"/>
    <w:rsid w:val="00D03C47"/>
    <w:rsid w:val="00D060B8"/>
    <w:rsid w:val="00D06B52"/>
    <w:rsid w:val="00D06F4C"/>
    <w:rsid w:val="00D1041D"/>
    <w:rsid w:val="00D12D9C"/>
    <w:rsid w:val="00D138E3"/>
    <w:rsid w:val="00D1548A"/>
    <w:rsid w:val="00D15F63"/>
    <w:rsid w:val="00D15FB0"/>
    <w:rsid w:val="00D1612E"/>
    <w:rsid w:val="00D1726A"/>
    <w:rsid w:val="00D17C70"/>
    <w:rsid w:val="00D22195"/>
    <w:rsid w:val="00D2479E"/>
    <w:rsid w:val="00D258D6"/>
    <w:rsid w:val="00D267FE"/>
    <w:rsid w:val="00D30930"/>
    <w:rsid w:val="00D30A4E"/>
    <w:rsid w:val="00D311E2"/>
    <w:rsid w:val="00D31646"/>
    <w:rsid w:val="00D32E81"/>
    <w:rsid w:val="00D334A7"/>
    <w:rsid w:val="00D3417E"/>
    <w:rsid w:val="00D34811"/>
    <w:rsid w:val="00D362DC"/>
    <w:rsid w:val="00D36739"/>
    <w:rsid w:val="00D3708F"/>
    <w:rsid w:val="00D374E4"/>
    <w:rsid w:val="00D378C9"/>
    <w:rsid w:val="00D4112D"/>
    <w:rsid w:val="00D41E23"/>
    <w:rsid w:val="00D426B6"/>
    <w:rsid w:val="00D427E0"/>
    <w:rsid w:val="00D42CA3"/>
    <w:rsid w:val="00D4300F"/>
    <w:rsid w:val="00D43A31"/>
    <w:rsid w:val="00D4433E"/>
    <w:rsid w:val="00D45858"/>
    <w:rsid w:val="00D45CDA"/>
    <w:rsid w:val="00D46D93"/>
    <w:rsid w:val="00D4779F"/>
    <w:rsid w:val="00D50252"/>
    <w:rsid w:val="00D5077A"/>
    <w:rsid w:val="00D50CD1"/>
    <w:rsid w:val="00D511CE"/>
    <w:rsid w:val="00D51871"/>
    <w:rsid w:val="00D522ED"/>
    <w:rsid w:val="00D527A7"/>
    <w:rsid w:val="00D52B22"/>
    <w:rsid w:val="00D52DD9"/>
    <w:rsid w:val="00D53F31"/>
    <w:rsid w:val="00D54792"/>
    <w:rsid w:val="00D56328"/>
    <w:rsid w:val="00D566E9"/>
    <w:rsid w:val="00D5733D"/>
    <w:rsid w:val="00D61FA0"/>
    <w:rsid w:val="00D631D9"/>
    <w:rsid w:val="00D63299"/>
    <w:rsid w:val="00D6357C"/>
    <w:rsid w:val="00D652A1"/>
    <w:rsid w:val="00D65A88"/>
    <w:rsid w:val="00D65B5F"/>
    <w:rsid w:val="00D67C00"/>
    <w:rsid w:val="00D7053E"/>
    <w:rsid w:val="00D705B9"/>
    <w:rsid w:val="00D7239E"/>
    <w:rsid w:val="00D726AD"/>
    <w:rsid w:val="00D72A44"/>
    <w:rsid w:val="00D744C6"/>
    <w:rsid w:val="00D75035"/>
    <w:rsid w:val="00D75A23"/>
    <w:rsid w:val="00D76465"/>
    <w:rsid w:val="00D76E5D"/>
    <w:rsid w:val="00D7760A"/>
    <w:rsid w:val="00D77DB7"/>
    <w:rsid w:val="00D77DFB"/>
    <w:rsid w:val="00D803AD"/>
    <w:rsid w:val="00D8089D"/>
    <w:rsid w:val="00D81CF0"/>
    <w:rsid w:val="00D81F81"/>
    <w:rsid w:val="00D83996"/>
    <w:rsid w:val="00D855F7"/>
    <w:rsid w:val="00D86D06"/>
    <w:rsid w:val="00D87ADB"/>
    <w:rsid w:val="00D91B39"/>
    <w:rsid w:val="00D91F99"/>
    <w:rsid w:val="00D925D7"/>
    <w:rsid w:val="00D9316B"/>
    <w:rsid w:val="00D93753"/>
    <w:rsid w:val="00D956EF"/>
    <w:rsid w:val="00D96151"/>
    <w:rsid w:val="00D96713"/>
    <w:rsid w:val="00D971A7"/>
    <w:rsid w:val="00D97EE9"/>
    <w:rsid w:val="00DA0DA5"/>
    <w:rsid w:val="00DA13D5"/>
    <w:rsid w:val="00DA18FB"/>
    <w:rsid w:val="00DA3F17"/>
    <w:rsid w:val="00DA5767"/>
    <w:rsid w:val="00DA5FA4"/>
    <w:rsid w:val="00DA642A"/>
    <w:rsid w:val="00DA6A30"/>
    <w:rsid w:val="00DA72B7"/>
    <w:rsid w:val="00DA7DBC"/>
    <w:rsid w:val="00DA7EAE"/>
    <w:rsid w:val="00DB1928"/>
    <w:rsid w:val="00DB2FB4"/>
    <w:rsid w:val="00DB30BC"/>
    <w:rsid w:val="00DB337F"/>
    <w:rsid w:val="00DB35D4"/>
    <w:rsid w:val="00DB457A"/>
    <w:rsid w:val="00DB4D31"/>
    <w:rsid w:val="00DB64FD"/>
    <w:rsid w:val="00DB68C7"/>
    <w:rsid w:val="00DB6DC4"/>
    <w:rsid w:val="00DB718E"/>
    <w:rsid w:val="00DB736F"/>
    <w:rsid w:val="00DB7731"/>
    <w:rsid w:val="00DB77A7"/>
    <w:rsid w:val="00DC0507"/>
    <w:rsid w:val="00DC0A82"/>
    <w:rsid w:val="00DC0CF9"/>
    <w:rsid w:val="00DC2311"/>
    <w:rsid w:val="00DC2701"/>
    <w:rsid w:val="00DC2716"/>
    <w:rsid w:val="00DC2D72"/>
    <w:rsid w:val="00DC2ED1"/>
    <w:rsid w:val="00DC50A3"/>
    <w:rsid w:val="00DC58B1"/>
    <w:rsid w:val="00DC5C3C"/>
    <w:rsid w:val="00DD071D"/>
    <w:rsid w:val="00DD162C"/>
    <w:rsid w:val="00DD1A23"/>
    <w:rsid w:val="00DD2116"/>
    <w:rsid w:val="00DD236C"/>
    <w:rsid w:val="00DD398F"/>
    <w:rsid w:val="00DD408C"/>
    <w:rsid w:val="00DD54EC"/>
    <w:rsid w:val="00DD5B14"/>
    <w:rsid w:val="00DD6B3C"/>
    <w:rsid w:val="00DD72AD"/>
    <w:rsid w:val="00DD761A"/>
    <w:rsid w:val="00DE049B"/>
    <w:rsid w:val="00DE1DE2"/>
    <w:rsid w:val="00DE23DB"/>
    <w:rsid w:val="00DE27FC"/>
    <w:rsid w:val="00DE3D48"/>
    <w:rsid w:val="00DE46B7"/>
    <w:rsid w:val="00DE5720"/>
    <w:rsid w:val="00DF0099"/>
    <w:rsid w:val="00DF048F"/>
    <w:rsid w:val="00DF0839"/>
    <w:rsid w:val="00DF10C7"/>
    <w:rsid w:val="00DF173D"/>
    <w:rsid w:val="00DF23B3"/>
    <w:rsid w:val="00DF2647"/>
    <w:rsid w:val="00DF3311"/>
    <w:rsid w:val="00DF599C"/>
    <w:rsid w:val="00E00531"/>
    <w:rsid w:val="00E01798"/>
    <w:rsid w:val="00E02642"/>
    <w:rsid w:val="00E02E59"/>
    <w:rsid w:val="00E035EB"/>
    <w:rsid w:val="00E03893"/>
    <w:rsid w:val="00E04F37"/>
    <w:rsid w:val="00E06434"/>
    <w:rsid w:val="00E0658F"/>
    <w:rsid w:val="00E06AB7"/>
    <w:rsid w:val="00E0725F"/>
    <w:rsid w:val="00E073F0"/>
    <w:rsid w:val="00E10F09"/>
    <w:rsid w:val="00E12B3D"/>
    <w:rsid w:val="00E12EA4"/>
    <w:rsid w:val="00E1333F"/>
    <w:rsid w:val="00E13E1E"/>
    <w:rsid w:val="00E144E4"/>
    <w:rsid w:val="00E14E48"/>
    <w:rsid w:val="00E1503E"/>
    <w:rsid w:val="00E16505"/>
    <w:rsid w:val="00E16F37"/>
    <w:rsid w:val="00E17558"/>
    <w:rsid w:val="00E17CF4"/>
    <w:rsid w:val="00E21A9C"/>
    <w:rsid w:val="00E22C97"/>
    <w:rsid w:val="00E22CB5"/>
    <w:rsid w:val="00E232EC"/>
    <w:rsid w:val="00E246E5"/>
    <w:rsid w:val="00E24AD2"/>
    <w:rsid w:val="00E24B16"/>
    <w:rsid w:val="00E24E38"/>
    <w:rsid w:val="00E26984"/>
    <w:rsid w:val="00E3398A"/>
    <w:rsid w:val="00E344F7"/>
    <w:rsid w:val="00E355E9"/>
    <w:rsid w:val="00E36F2C"/>
    <w:rsid w:val="00E37834"/>
    <w:rsid w:val="00E37A22"/>
    <w:rsid w:val="00E37AF5"/>
    <w:rsid w:val="00E37E04"/>
    <w:rsid w:val="00E403D7"/>
    <w:rsid w:val="00E408A0"/>
    <w:rsid w:val="00E41C68"/>
    <w:rsid w:val="00E4462C"/>
    <w:rsid w:val="00E4483C"/>
    <w:rsid w:val="00E44EC3"/>
    <w:rsid w:val="00E44FFA"/>
    <w:rsid w:val="00E50B77"/>
    <w:rsid w:val="00E51263"/>
    <w:rsid w:val="00E5228C"/>
    <w:rsid w:val="00E522AD"/>
    <w:rsid w:val="00E523F1"/>
    <w:rsid w:val="00E5255A"/>
    <w:rsid w:val="00E52A33"/>
    <w:rsid w:val="00E52F95"/>
    <w:rsid w:val="00E52FA8"/>
    <w:rsid w:val="00E53D97"/>
    <w:rsid w:val="00E57652"/>
    <w:rsid w:val="00E60DAE"/>
    <w:rsid w:val="00E61160"/>
    <w:rsid w:val="00E66A59"/>
    <w:rsid w:val="00E67297"/>
    <w:rsid w:val="00E70031"/>
    <w:rsid w:val="00E70B49"/>
    <w:rsid w:val="00E73396"/>
    <w:rsid w:val="00E736DF"/>
    <w:rsid w:val="00E75183"/>
    <w:rsid w:val="00E75516"/>
    <w:rsid w:val="00E76408"/>
    <w:rsid w:val="00E76853"/>
    <w:rsid w:val="00E76DB6"/>
    <w:rsid w:val="00E77FB4"/>
    <w:rsid w:val="00E83FE6"/>
    <w:rsid w:val="00E84054"/>
    <w:rsid w:val="00E84AC4"/>
    <w:rsid w:val="00E85C02"/>
    <w:rsid w:val="00E8628E"/>
    <w:rsid w:val="00E86AC0"/>
    <w:rsid w:val="00E87895"/>
    <w:rsid w:val="00E90E27"/>
    <w:rsid w:val="00E911E4"/>
    <w:rsid w:val="00E923C4"/>
    <w:rsid w:val="00E93128"/>
    <w:rsid w:val="00E9482A"/>
    <w:rsid w:val="00E94F2C"/>
    <w:rsid w:val="00E95D57"/>
    <w:rsid w:val="00E9639C"/>
    <w:rsid w:val="00E96EF6"/>
    <w:rsid w:val="00E9798A"/>
    <w:rsid w:val="00E97E3F"/>
    <w:rsid w:val="00E97EC0"/>
    <w:rsid w:val="00EA1AA2"/>
    <w:rsid w:val="00EA1CDE"/>
    <w:rsid w:val="00EA30C9"/>
    <w:rsid w:val="00EA3365"/>
    <w:rsid w:val="00EA36E6"/>
    <w:rsid w:val="00EA4218"/>
    <w:rsid w:val="00EA4352"/>
    <w:rsid w:val="00EA5511"/>
    <w:rsid w:val="00EA6BBA"/>
    <w:rsid w:val="00EA7728"/>
    <w:rsid w:val="00EB13E5"/>
    <w:rsid w:val="00EB14AD"/>
    <w:rsid w:val="00EB2D5F"/>
    <w:rsid w:val="00EB3DC6"/>
    <w:rsid w:val="00EB4B04"/>
    <w:rsid w:val="00EB5BF4"/>
    <w:rsid w:val="00EB6204"/>
    <w:rsid w:val="00EC1290"/>
    <w:rsid w:val="00EC148D"/>
    <w:rsid w:val="00EC1A88"/>
    <w:rsid w:val="00EC1ECC"/>
    <w:rsid w:val="00EC289A"/>
    <w:rsid w:val="00EC31E0"/>
    <w:rsid w:val="00EC40FC"/>
    <w:rsid w:val="00EC41D5"/>
    <w:rsid w:val="00EC4D08"/>
    <w:rsid w:val="00EC5605"/>
    <w:rsid w:val="00EC56D5"/>
    <w:rsid w:val="00EC6789"/>
    <w:rsid w:val="00ED06F3"/>
    <w:rsid w:val="00ED1FCE"/>
    <w:rsid w:val="00ED2E54"/>
    <w:rsid w:val="00ED454C"/>
    <w:rsid w:val="00ED5266"/>
    <w:rsid w:val="00ED60F4"/>
    <w:rsid w:val="00ED7B49"/>
    <w:rsid w:val="00EE0406"/>
    <w:rsid w:val="00EE2132"/>
    <w:rsid w:val="00EE2F2D"/>
    <w:rsid w:val="00EE303A"/>
    <w:rsid w:val="00EE3C15"/>
    <w:rsid w:val="00EE3DA6"/>
    <w:rsid w:val="00EE3FB8"/>
    <w:rsid w:val="00EE489D"/>
    <w:rsid w:val="00EE729D"/>
    <w:rsid w:val="00EE7AF7"/>
    <w:rsid w:val="00EF0012"/>
    <w:rsid w:val="00EF061D"/>
    <w:rsid w:val="00EF1215"/>
    <w:rsid w:val="00EF24E8"/>
    <w:rsid w:val="00EF30E8"/>
    <w:rsid w:val="00EF3D9D"/>
    <w:rsid w:val="00EF4197"/>
    <w:rsid w:val="00EF4A0D"/>
    <w:rsid w:val="00EF5681"/>
    <w:rsid w:val="00EF5C11"/>
    <w:rsid w:val="00EF6659"/>
    <w:rsid w:val="00EF70F3"/>
    <w:rsid w:val="00EF714E"/>
    <w:rsid w:val="00F00AD6"/>
    <w:rsid w:val="00F01692"/>
    <w:rsid w:val="00F018A4"/>
    <w:rsid w:val="00F01905"/>
    <w:rsid w:val="00F0197B"/>
    <w:rsid w:val="00F03A85"/>
    <w:rsid w:val="00F058B4"/>
    <w:rsid w:val="00F06031"/>
    <w:rsid w:val="00F070F2"/>
    <w:rsid w:val="00F07368"/>
    <w:rsid w:val="00F075D9"/>
    <w:rsid w:val="00F075DD"/>
    <w:rsid w:val="00F124DB"/>
    <w:rsid w:val="00F12C7E"/>
    <w:rsid w:val="00F13008"/>
    <w:rsid w:val="00F15D34"/>
    <w:rsid w:val="00F16575"/>
    <w:rsid w:val="00F17728"/>
    <w:rsid w:val="00F2011C"/>
    <w:rsid w:val="00F2087B"/>
    <w:rsid w:val="00F22F57"/>
    <w:rsid w:val="00F23936"/>
    <w:rsid w:val="00F23BF2"/>
    <w:rsid w:val="00F249DA"/>
    <w:rsid w:val="00F24A21"/>
    <w:rsid w:val="00F24E33"/>
    <w:rsid w:val="00F253A8"/>
    <w:rsid w:val="00F25B68"/>
    <w:rsid w:val="00F265D0"/>
    <w:rsid w:val="00F322D5"/>
    <w:rsid w:val="00F3251F"/>
    <w:rsid w:val="00F32B20"/>
    <w:rsid w:val="00F33355"/>
    <w:rsid w:val="00F33FCC"/>
    <w:rsid w:val="00F36285"/>
    <w:rsid w:val="00F4057E"/>
    <w:rsid w:val="00F4152D"/>
    <w:rsid w:val="00F425BE"/>
    <w:rsid w:val="00F426C9"/>
    <w:rsid w:val="00F45781"/>
    <w:rsid w:val="00F46011"/>
    <w:rsid w:val="00F46B73"/>
    <w:rsid w:val="00F47ADA"/>
    <w:rsid w:val="00F51163"/>
    <w:rsid w:val="00F511D9"/>
    <w:rsid w:val="00F523FF"/>
    <w:rsid w:val="00F534E1"/>
    <w:rsid w:val="00F53B3D"/>
    <w:rsid w:val="00F53B92"/>
    <w:rsid w:val="00F549D4"/>
    <w:rsid w:val="00F564EA"/>
    <w:rsid w:val="00F57296"/>
    <w:rsid w:val="00F57417"/>
    <w:rsid w:val="00F60EA0"/>
    <w:rsid w:val="00F61F0C"/>
    <w:rsid w:val="00F6203E"/>
    <w:rsid w:val="00F63804"/>
    <w:rsid w:val="00F63B18"/>
    <w:rsid w:val="00F657B4"/>
    <w:rsid w:val="00F658FB"/>
    <w:rsid w:val="00F65F8E"/>
    <w:rsid w:val="00F66014"/>
    <w:rsid w:val="00F673AB"/>
    <w:rsid w:val="00F70D5A"/>
    <w:rsid w:val="00F71D4A"/>
    <w:rsid w:val="00F72E92"/>
    <w:rsid w:val="00F73548"/>
    <w:rsid w:val="00F73C40"/>
    <w:rsid w:val="00F768EC"/>
    <w:rsid w:val="00F774A0"/>
    <w:rsid w:val="00F77596"/>
    <w:rsid w:val="00F8001F"/>
    <w:rsid w:val="00F8230D"/>
    <w:rsid w:val="00F82F90"/>
    <w:rsid w:val="00F84B6E"/>
    <w:rsid w:val="00F86A4F"/>
    <w:rsid w:val="00F8798E"/>
    <w:rsid w:val="00F87CE7"/>
    <w:rsid w:val="00F90228"/>
    <w:rsid w:val="00F90731"/>
    <w:rsid w:val="00F90B01"/>
    <w:rsid w:val="00F91993"/>
    <w:rsid w:val="00F91D29"/>
    <w:rsid w:val="00F926F4"/>
    <w:rsid w:val="00F929E2"/>
    <w:rsid w:val="00F92D7B"/>
    <w:rsid w:val="00F92F50"/>
    <w:rsid w:val="00F93F4C"/>
    <w:rsid w:val="00F941D3"/>
    <w:rsid w:val="00F94C34"/>
    <w:rsid w:val="00F9549F"/>
    <w:rsid w:val="00F962F3"/>
    <w:rsid w:val="00F963B5"/>
    <w:rsid w:val="00F96804"/>
    <w:rsid w:val="00F96871"/>
    <w:rsid w:val="00F968D5"/>
    <w:rsid w:val="00F96C82"/>
    <w:rsid w:val="00F972D3"/>
    <w:rsid w:val="00FA0055"/>
    <w:rsid w:val="00FA06A6"/>
    <w:rsid w:val="00FA0AB3"/>
    <w:rsid w:val="00FA1A8D"/>
    <w:rsid w:val="00FA1C16"/>
    <w:rsid w:val="00FA2B65"/>
    <w:rsid w:val="00FA2D8F"/>
    <w:rsid w:val="00FA2EE6"/>
    <w:rsid w:val="00FA3AB9"/>
    <w:rsid w:val="00FA68ED"/>
    <w:rsid w:val="00FA6C65"/>
    <w:rsid w:val="00FA7188"/>
    <w:rsid w:val="00FA7351"/>
    <w:rsid w:val="00FB1131"/>
    <w:rsid w:val="00FB13FF"/>
    <w:rsid w:val="00FB2A69"/>
    <w:rsid w:val="00FB301E"/>
    <w:rsid w:val="00FB336F"/>
    <w:rsid w:val="00FB3B42"/>
    <w:rsid w:val="00FB4C00"/>
    <w:rsid w:val="00FB56EF"/>
    <w:rsid w:val="00FB5FA2"/>
    <w:rsid w:val="00FB65C5"/>
    <w:rsid w:val="00FB6F07"/>
    <w:rsid w:val="00FB7A23"/>
    <w:rsid w:val="00FB7DDC"/>
    <w:rsid w:val="00FC1422"/>
    <w:rsid w:val="00FC1A8B"/>
    <w:rsid w:val="00FC2180"/>
    <w:rsid w:val="00FC2CC0"/>
    <w:rsid w:val="00FC397A"/>
    <w:rsid w:val="00FC49B0"/>
    <w:rsid w:val="00FC4F5E"/>
    <w:rsid w:val="00FC563F"/>
    <w:rsid w:val="00FC7494"/>
    <w:rsid w:val="00FC7ADB"/>
    <w:rsid w:val="00FC7EC1"/>
    <w:rsid w:val="00FD130B"/>
    <w:rsid w:val="00FD1F2E"/>
    <w:rsid w:val="00FD4339"/>
    <w:rsid w:val="00FD443E"/>
    <w:rsid w:val="00FD4885"/>
    <w:rsid w:val="00FD4C38"/>
    <w:rsid w:val="00FD4E37"/>
    <w:rsid w:val="00FD5210"/>
    <w:rsid w:val="00FD5802"/>
    <w:rsid w:val="00FD6D06"/>
    <w:rsid w:val="00FE12E9"/>
    <w:rsid w:val="00FE25CE"/>
    <w:rsid w:val="00FE3391"/>
    <w:rsid w:val="00FE38E0"/>
    <w:rsid w:val="00FE3AF4"/>
    <w:rsid w:val="00FE48A5"/>
    <w:rsid w:val="00FE519A"/>
    <w:rsid w:val="00FE7442"/>
    <w:rsid w:val="00FE7F04"/>
    <w:rsid w:val="00FF031B"/>
    <w:rsid w:val="00FF17AD"/>
    <w:rsid w:val="00FF18D2"/>
    <w:rsid w:val="00FF1B3D"/>
    <w:rsid w:val="00FF2346"/>
    <w:rsid w:val="00FF2561"/>
    <w:rsid w:val="00FF30A7"/>
    <w:rsid w:val="00FF3FD4"/>
    <w:rsid w:val="00FF4049"/>
    <w:rsid w:val="00FF49C4"/>
    <w:rsid w:val="00FF4A78"/>
    <w:rsid w:val="00FF4FFF"/>
    <w:rsid w:val="00FF62D7"/>
    <w:rsid w:val="00FF684A"/>
    <w:rsid w:val="00FF6A71"/>
    <w:rsid w:val="00FF7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101D1"/>
  <w15:chartTrackingRefBased/>
  <w15:docId w15:val="{F2403F26-6DD0-455B-89E7-1A35E72A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8A0"/>
    <w:pPr>
      <w:spacing w:after="240" w:line="480" w:lineRule="auto"/>
      <w:jc w:val="both"/>
    </w:pPr>
    <w:rPr>
      <w:rFonts w:ascii="Times New Roman" w:hAnsi="Times New Roman" w:cs="Times New Roman"/>
      <w:sz w:val="24"/>
      <w:szCs w:val="24"/>
      <w:shd w:val="clear" w:color="auto" w:fill="FFFFFF"/>
    </w:rPr>
  </w:style>
  <w:style w:type="paragraph" w:styleId="Heading1">
    <w:name w:val="heading 1"/>
    <w:basedOn w:val="Heading4"/>
    <w:next w:val="Normal"/>
    <w:link w:val="Heading1Char"/>
    <w:uiPriority w:val="9"/>
    <w:qFormat/>
    <w:rsid w:val="00255CB8"/>
    <w:pPr>
      <w:spacing w:before="0" w:after="240"/>
      <w:outlineLvl w:val="0"/>
    </w:pPr>
  </w:style>
  <w:style w:type="paragraph" w:styleId="Heading2">
    <w:name w:val="heading 2"/>
    <w:basedOn w:val="Heading1"/>
    <w:next w:val="Normal"/>
    <w:link w:val="Heading2Char"/>
    <w:uiPriority w:val="9"/>
    <w:unhideWhenUsed/>
    <w:qFormat/>
    <w:rsid w:val="00255CB8"/>
    <w:pPr>
      <w:outlineLvl w:val="1"/>
    </w:pPr>
  </w:style>
  <w:style w:type="paragraph" w:styleId="Heading4">
    <w:name w:val="heading 4"/>
    <w:basedOn w:val="Normal"/>
    <w:next w:val="Normal"/>
    <w:link w:val="Heading4Char"/>
    <w:uiPriority w:val="9"/>
    <w:unhideWhenUsed/>
    <w:qFormat/>
    <w:rsid w:val="00EE489D"/>
    <w:pPr>
      <w:keepNext/>
      <w:keepLines/>
      <w:spacing w:before="120" w:after="120" w:line="240" w:lineRule="auto"/>
      <w:jc w:val="left"/>
      <w:outlineLvl w:val="3"/>
    </w:pPr>
    <w:rPr>
      <w:rFonts w:eastAsiaTheme="majorEastAsia"/>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1612E"/>
    <w:pPr>
      <w:autoSpaceDE w:val="0"/>
      <w:autoSpaceDN w:val="0"/>
      <w:adjustRightInd w:val="0"/>
      <w:spacing w:before="31" w:after="0" w:line="240" w:lineRule="auto"/>
      <w:ind w:left="1137"/>
    </w:pPr>
    <w:rPr>
      <w:rFonts w:ascii="Arial" w:hAnsi="Arial" w:cs="Arial"/>
      <w:sz w:val="19"/>
      <w:szCs w:val="19"/>
    </w:rPr>
  </w:style>
  <w:style w:type="character" w:customStyle="1" w:styleId="BodyTextChar">
    <w:name w:val="Body Text Char"/>
    <w:basedOn w:val="DefaultParagraphFont"/>
    <w:link w:val="BodyText"/>
    <w:uiPriority w:val="1"/>
    <w:rsid w:val="00D1612E"/>
    <w:rPr>
      <w:rFonts w:ascii="Arial" w:hAnsi="Arial" w:cs="Arial"/>
      <w:sz w:val="19"/>
      <w:szCs w:val="19"/>
    </w:rPr>
  </w:style>
  <w:style w:type="character" w:customStyle="1" w:styleId="Heading4Char">
    <w:name w:val="Heading 4 Char"/>
    <w:basedOn w:val="DefaultParagraphFont"/>
    <w:link w:val="Heading4"/>
    <w:uiPriority w:val="9"/>
    <w:rsid w:val="00EE489D"/>
    <w:rPr>
      <w:rFonts w:ascii="Times New Roman" w:eastAsiaTheme="majorEastAsia" w:hAnsi="Times New Roman" w:cs="Times New Roman"/>
      <w:b/>
      <w:iCs/>
      <w:sz w:val="24"/>
      <w:szCs w:val="24"/>
    </w:rPr>
  </w:style>
  <w:style w:type="character" w:customStyle="1" w:styleId="Heading1Char">
    <w:name w:val="Heading 1 Char"/>
    <w:basedOn w:val="DefaultParagraphFont"/>
    <w:link w:val="Heading1"/>
    <w:uiPriority w:val="9"/>
    <w:rsid w:val="00255CB8"/>
    <w:rPr>
      <w:rFonts w:ascii="Times New Roman" w:eastAsiaTheme="majorEastAsia" w:hAnsi="Times New Roman" w:cs="Times New Roman"/>
      <w:b/>
      <w:iCs/>
      <w:sz w:val="24"/>
      <w:szCs w:val="24"/>
    </w:rPr>
  </w:style>
  <w:style w:type="character" w:styleId="CommentReference">
    <w:name w:val="annotation reference"/>
    <w:basedOn w:val="DefaultParagraphFont"/>
    <w:uiPriority w:val="99"/>
    <w:semiHidden/>
    <w:unhideWhenUsed/>
    <w:rsid w:val="00DC0CF9"/>
    <w:rPr>
      <w:sz w:val="16"/>
      <w:szCs w:val="16"/>
    </w:rPr>
  </w:style>
  <w:style w:type="paragraph" w:styleId="CommentText">
    <w:name w:val="annotation text"/>
    <w:basedOn w:val="Normal"/>
    <w:link w:val="CommentTextChar"/>
    <w:uiPriority w:val="99"/>
    <w:unhideWhenUsed/>
    <w:rsid w:val="00DC0CF9"/>
    <w:pPr>
      <w:spacing w:line="240" w:lineRule="auto"/>
    </w:pPr>
    <w:rPr>
      <w:sz w:val="20"/>
      <w:szCs w:val="20"/>
    </w:rPr>
  </w:style>
  <w:style w:type="character" w:customStyle="1" w:styleId="CommentTextChar">
    <w:name w:val="Comment Text Char"/>
    <w:basedOn w:val="DefaultParagraphFont"/>
    <w:link w:val="CommentText"/>
    <w:uiPriority w:val="99"/>
    <w:rsid w:val="00DC0CF9"/>
    <w:rPr>
      <w:sz w:val="20"/>
      <w:szCs w:val="20"/>
    </w:rPr>
  </w:style>
  <w:style w:type="paragraph" w:styleId="CommentSubject">
    <w:name w:val="annotation subject"/>
    <w:basedOn w:val="CommentText"/>
    <w:next w:val="CommentText"/>
    <w:link w:val="CommentSubjectChar"/>
    <w:uiPriority w:val="99"/>
    <w:semiHidden/>
    <w:unhideWhenUsed/>
    <w:rsid w:val="00DC0CF9"/>
    <w:rPr>
      <w:b/>
      <w:bCs/>
    </w:rPr>
  </w:style>
  <w:style w:type="character" w:customStyle="1" w:styleId="CommentSubjectChar">
    <w:name w:val="Comment Subject Char"/>
    <w:basedOn w:val="CommentTextChar"/>
    <w:link w:val="CommentSubject"/>
    <w:uiPriority w:val="99"/>
    <w:semiHidden/>
    <w:rsid w:val="00DC0CF9"/>
    <w:rPr>
      <w:b/>
      <w:bCs/>
      <w:sz w:val="20"/>
      <w:szCs w:val="20"/>
    </w:rPr>
  </w:style>
  <w:style w:type="paragraph" w:styleId="BalloonText">
    <w:name w:val="Balloon Text"/>
    <w:basedOn w:val="Normal"/>
    <w:link w:val="BalloonTextChar"/>
    <w:uiPriority w:val="99"/>
    <w:semiHidden/>
    <w:unhideWhenUsed/>
    <w:rsid w:val="00DC0C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0CF9"/>
    <w:rPr>
      <w:rFonts w:ascii="Segoe UI" w:hAnsi="Segoe UI" w:cs="Segoe UI"/>
      <w:sz w:val="18"/>
      <w:szCs w:val="18"/>
    </w:rPr>
  </w:style>
  <w:style w:type="paragraph" w:styleId="Header">
    <w:name w:val="header"/>
    <w:basedOn w:val="Normal"/>
    <w:link w:val="HeaderChar"/>
    <w:uiPriority w:val="99"/>
    <w:unhideWhenUsed/>
    <w:rsid w:val="00E7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FB4"/>
  </w:style>
  <w:style w:type="paragraph" w:styleId="Footer">
    <w:name w:val="footer"/>
    <w:basedOn w:val="Normal"/>
    <w:link w:val="FooterChar"/>
    <w:uiPriority w:val="99"/>
    <w:unhideWhenUsed/>
    <w:rsid w:val="00E7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FB4"/>
  </w:style>
  <w:style w:type="paragraph" w:styleId="FootnoteText">
    <w:name w:val="footnote text"/>
    <w:basedOn w:val="Normal"/>
    <w:link w:val="FootnoteTextChar"/>
    <w:uiPriority w:val="99"/>
    <w:unhideWhenUsed/>
    <w:rsid w:val="00A54A16"/>
    <w:pPr>
      <w:spacing w:after="0" w:line="240" w:lineRule="auto"/>
    </w:pPr>
    <w:rPr>
      <w:sz w:val="20"/>
      <w:szCs w:val="20"/>
    </w:rPr>
  </w:style>
  <w:style w:type="character" w:customStyle="1" w:styleId="FootnoteTextChar">
    <w:name w:val="Footnote Text Char"/>
    <w:basedOn w:val="DefaultParagraphFont"/>
    <w:link w:val="FootnoteText"/>
    <w:uiPriority w:val="99"/>
    <w:rsid w:val="00A54A16"/>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A54A16"/>
    <w:rPr>
      <w:vertAlign w:val="superscript"/>
    </w:rPr>
  </w:style>
  <w:style w:type="character" w:styleId="Hyperlink">
    <w:name w:val="Hyperlink"/>
    <w:basedOn w:val="DefaultParagraphFont"/>
    <w:uiPriority w:val="99"/>
    <w:unhideWhenUsed/>
    <w:rsid w:val="00D96151"/>
    <w:rPr>
      <w:color w:val="0000FF"/>
      <w:u w:val="single"/>
    </w:rPr>
  </w:style>
  <w:style w:type="character" w:styleId="Emphasis">
    <w:name w:val="Emphasis"/>
    <w:basedOn w:val="DefaultParagraphFont"/>
    <w:uiPriority w:val="20"/>
    <w:qFormat/>
    <w:rsid w:val="000B7BC7"/>
    <w:rPr>
      <w:i/>
      <w:iCs/>
    </w:rPr>
  </w:style>
  <w:style w:type="character" w:customStyle="1" w:styleId="UnresolvedMention1">
    <w:name w:val="Unresolved Mention1"/>
    <w:basedOn w:val="DefaultParagraphFont"/>
    <w:uiPriority w:val="99"/>
    <w:semiHidden/>
    <w:unhideWhenUsed/>
    <w:rsid w:val="00D77DB7"/>
    <w:rPr>
      <w:color w:val="605E5C"/>
      <w:shd w:val="clear" w:color="auto" w:fill="E1DFDD"/>
    </w:rPr>
  </w:style>
  <w:style w:type="character" w:styleId="FollowedHyperlink">
    <w:name w:val="FollowedHyperlink"/>
    <w:basedOn w:val="DefaultParagraphFont"/>
    <w:uiPriority w:val="99"/>
    <w:semiHidden/>
    <w:unhideWhenUsed/>
    <w:rsid w:val="00471A13"/>
    <w:rPr>
      <w:color w:val="954F72" w:themeColor="followedHyperlink"/>
      <w:u w:val="single"/>
    </w:rPr>
  </w:style>
  <w:style w:type="paragraph" w:styleId="NoSpacing">
    <w:name w:val="No Spacing"/>
    <w:uiPriority w:val="1"/>
    <w:qFormat/>
    <w:rsid w:val="000D39A7"/>
    <w:pPr>
      <w:spacing w:after="0" w:line="240" w:lineRule="auto"/>
      <w:jc w:val="both"/>
    </w:pPr>
    <w:rPr>
      <w:rFonts w:ascii="Times New Roman" w:hAnsi="Times New Roman" w:cs="Times New Roman"/>
      <w:sz w:val="24"/>
      <w:szCs w:val="24"/>
    </w:rPr>
  </w:style>
  <w:style w:type="paragraph" w:customStyle="1" w:styleId="pf0">
    <w:name w:val="pf0"/>
    <w:basedOn w:val="Normal"/>
    <w:rsid w:val="00F57296"/>
    <w:pPr>
      <w:spacing w:before="100" w:beforeAutospacing="1" w:after="100" w:afterAutospacing="1" w:line="240" w:lineRule="auto"/>
      <w:jc w:val="left"/>
    </w:pPr>
    <w:rPr>
      <w:rFonts w:eastAsia="Times New Roman"/>
    </w:rPr>
  </w:style>
  <w:style w:type="character" w:customStyle="1" w:styleId="cf01">
    <w:name w:val="cf01"/>
    <w:basedOn w:val="DefaultParagraphFont"/>
    <w:rsid w:val="00F57296"/>
    <w:rPr>
      <w:rFonts w:ascii="Segoe UI" w:hAnsi="Segoe UI" w:cs="Segoe UI" w:hint="default"/>
      <w:sz w:val="18"/>
      <w:szCs w:val="18"/>
    </w:rPr>
  </w:style>
  <w:style w:type="character" w:customStyle="1" w:styleId="Heading2Char">
    <w:name w:val="Heading 2 Char"/>
    <w:basedOn w:val="DefaultParagraphFont"/>
    <w:link w:val="Heading2"/>
    <w:uiPriority w:val="9"/>
    <w:rsid w:val="00255CB8"/>
    <w:rPr>
      <w:rFonts w:ascii="Times New Roman" w:eastAsiaTheme="majorEastAsia" w:hAnsi="Times New Roman" w:cs="Times New Roman"/>
      <w:b/>
      <w:iCs/>
      <w:sz w:val="24"/>
      <w:szCs w:val="24"/>
    </w:rPr>
  </w:style>
  <w:style w:type="paragraph" w:styleId="HTMLPreformatted">
    <w:name w:val="HTML Preformatted"/>
    <w:basedOn w:val="Normal"/>
    <w:link w:val="HTMLPreformattedChar"/>
    <w:uiPriority w:val="99"/>
    <w:semiHidden/>
    <w:unhideWhenUsed/>
    <w:rsid w:val="00D527A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27A7"/>
    <w:rPr>
      <w:rFonts w:ascii="Consolas" w:hAnsi="Consolas" w:cs="Times New Roman"/>
      <w:sz w:val="20"/>
      <w:szCs w:val="20"/>
    </w:rPr>
  </w:style>
  <w:style w:type="character" w:styleId="PlaceholderText">
    <w:name w:val="Placeholder Text"/>
    <w:basedOn w:val="DefaultParagraphFont"/>
    <w:uiPriority w:val="99"/>
    <w:semiHidden/>
    <w:rsid w:val="00315A84"/>
    <w:rPr>
      <w:color w:val="666666"/>
    </w:rPr>
  </w:style>
  <w:style w:type="character" w:styleId="UnresolvedMention">
    <w:name w:val="Unresolved Mention"/>
    <w:basedOn w:val="DefaultParagraphFont"/>
    <w:uiPriority w:val="99"/>
    <w:semiHidden/>
    <w:unhideWhenUsed/>
    <w:rsid w:val="00E84054"/>
    <w:rPr>
      <w:color w:val="605E5C"/>
      <w:shd w:val="clear" w:color="auto" w:fill="E1DFDD"/>
    </w:rPr>
  </w:style>
  <w:style w:type="paragraph" w:styleId="Revision">
    <w:name w:val="Revision"/>
    <w:hidden/>
    <w:uiPriority w:val="99"/>
    <w:semiHidden/>
    <w:rsid w:val="00690710"/>
    <w:pPr>
      <w:spacing w:after="0" w:line="240" w:lineRule="auto"/>
    </w:pPr>
    <w:rPr>
      <w:rFonts w:ascii="Times New Roman" w:hAnsi="Times New Roman" w:cs="Times New Roman"/>
      <w:sz w:val="24"/>
      <w:szCs w:val="24"/>
      <w:shd w:val="clear" w:color="auto" w:fill="FFFFFF"/>
    </w:rPr>
  </w:style>
  <w:style w:type="paragraph" w:styleId="Bibliography">
    <w:name w:val="Bibliography"/>
    <w:basedOn w:val="Normal"/>
    <w:next w:val="Normal"/>
    <w:uiPriority w:val="37"/>
    <w:unhideWhenUsed/>
    <w:rsid w:val="001B7570"/>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4745">
      <w:bodyDiv w:val="1"/>
      <w:marLeft w:val="0"/>
      <w:marRight w:val="0"/>
      <w:marTop w:val="0"/>
      <w:marBottom w:val="0"/>
      <w:divBdr>
        <w:top w:val="none" w:sz="0" w:space="0" w:color="auto"/>
        <w:left w:val="none" w:sz="0" w:space="0" w:color="auto"/>
        <w:bottom w:val="none" w:sz="0" w:space="0" w:color="auto"/>
        <w:right w:val="none" w:sz="0" w:space="0" w:color="auto"/>
      </w:divBdr>
    </w:div>
    <w:div w:id="214002762">
      <w:bodyDiv w:val="1"/>
      <w:marLeft w:val="0"/>
      <w:marRight w:val="0"/>
      <w:marTop w:val="0"/>
      <w:marBottom w:val="0"/>
      <w:divBdr>
        <w:top w:val="none" w:sz="0" w:space="0" w:color="auto"/>
        <w:left w:val="none" w:sz="0" w:space="0" w:color="auto"/>
        <w:bottom w:val="none" w:sz="0" w:space="0" w:color="auto"/>
        <w:right w:val="none" w:sz="0" w:space="0" w:color="auto"/>
      </w:divBdr>
    </w:div>
    <w:div w:id="223761716">
      <w:bodyDiv w:val="1"/>
      <w:marLeft w:val="0"/>
      <w:marRight w:val="0"/>
      <w:marTop w:val="0"/>
      <w:marBottom w:val="0"/>
      <w:divBdr>
        <w:top w:val="none" w:sz="0" w:space="0" w:color="auto"/>
        <w:left w:val="none" w:sz="0" w:space="0" w:color="auto"/>
        <w:bottom w:val="none" w:sz="0" w:space="0" w:color="auto"/>
        <w:right w:val="none" w:sz="0" w:space="0" w:color="auto"/>
      </w:divBdr>
    </w:div>
    <w:div w:id="233055399">
      <w:bodyDiv w:val="1"/>
      <w:marLeft w:val="0"/>
      <w:marRight w:val="0"/>
      <w:marTop w:val="0"/>
      <w:marBottom w:val="0"/>
      <w:divBdr>
        <w:top w:val="none" w:sz="0" w:space="0" w:color="auto"/>
        <w:left w:val="none" w:sz="0" w:space="0" w:color="auto"/>
        <w:bottom w:val="none" w:sz="0" w:space="0" w:color="auto"/>
        <w:right w:val="none" w:sz="0" w:space="0" w:color="auto"/>
      </w:divBdr>
    </w:div>
    <w:div w:id="344482464">
      <w:bodyDiv w:val="1"/>
      <w:marLeft w:val="0"/>
      <w:marRight w:val="0"/>
      <w:marTop w:val="0"/>
      <w:marBottom w:val="0"/>
      <w:divBdr>
        <w:top w:val="none" w:sz="0" w:space="0" w:color="auto"/>
        <w:left w:val="none" w:sz="0" w:space="0" w:color="auto"/>
        <w:bottom w:val="none" w:sz="0" w:space="0" w:color="auto"/>
        <w:right w:val="none" w:sz="0" w:space="0" w:color="auto"/>
      </w:divBdr>
    </w:div>
    <w:div w:id="693730469">
      <w:bodyDiv w:val="1"/>
      <w:marLeft w:val="0"/>
      <w:marRight w:val="0"/>
      <w:marTop w:val="0"/>
      <w:marBottom w:val="0"/>
      <w:divBdr>
        <w:top w:val="none" w:sz="0" w:space="0" w:color="auto"/>
        <w:left w:val="none" w:sz="0" w:space="0" w:color="auto"/>
        <w:bottom w:val="none" w:sz="0" w:space="0" w:color="auto"/>
        <w:right w:val="none" w:sz="0" w:space="0" w:color="auto"/>
      </w:divBdr>
    </w:div>
    <w:div w:id="738751637">
      <w:bodyDiv w:val="1"/>
      <w:marLeft w:val="0"/>
      <w:marRight w:val="0"/>
      <w:marTop w:val="0"/>
      <w:marBottom w:val="0"/>
      <w:divBdr>
        <w:top w:val="none" w:sz="0" w:space="0" w:color="auto"/>
        <w:left w:val="none" w:sz="0" w:space="0" w:color="auto"/>
        <w:bottom w:val="none" w:sz="0" w:space="0" w:color="auto"/>
        <w:right w:val="none" w:sz="0" w:space="0" w:color="auto"/>
      </w:divBdr>
    </w:div>
    <w:div w:id="919560845">
      <w:bodyDiv w:val="1"/>
      <w:marLeft w:val="0"/>
      <w:marRight w:val="0"/>
      <w:marTop w:val="0"/>
      <w:marBottom w:val="0"/>
      <w:divBdr>
        <w:top w:val="none" w:sz="0" w:space="0" w:color="auto"/>
        <w:left w:val="none" w:sz="0" w:space="0" w:color="auto"/>
        <w:bottom w:val="none" w:sz="0" w:space="0" w:color="auto"/>
        <w:right w:val="none" w:sz="0" w:space="0" w:color="auto"/>
      </w:divBdr>
    </w:div>
    <w:div w:id="1006442057">
      <w:bodyDiv w:val="1"/>
      <w:marLeft w:val="0"/>
      <w:marRight w:val="0"/>
      <w:marTop w:val="0"/>
      <w:marBottom w:val="0"/>
      <w:divBdr>
        <w:top w:val="none" w:sz="0" w:space="0" w:color="auto"/>
        <w:left w:val="none" w:sz="0" w:space="0" w:color="auto"/>
        <w:bottom w:val="none" w:sz="0" w:space="0" w:color="auto"/>
        <w:right w:val="none" w:sz="0" w:space="0" w:color="auto"/>
      </w:divBdr>
    </w:div>
    <w:div w:id="1140809413">
      <w:bodyDiv w:val="1"/>
      <w:marLeft w:val="0"/>
      <w:marRight w:val="0"/>
      <w:marTop w:val="0"/>
      <w:marBottom w:val="0"/>
      <w:divBdr>
        <w:top w:val="none" w:sz="0" w:space="0" w:color="auto"/>
        <w:left w:val="none" w:sz="0" w:space="0" w:color="auto"/>
        <w:bottom w:val="none" w:sz="0" w:space="0" w:color="auto"/>
        <w:right w:val="none" w:sz="0" w:space="0" w:color="auto"/>
      </w:divBdr>
    </w:div>
    <w:div w:id="1262374091">
      <w:bodyDiv w:val="1"/>
      <w:marLeft w:val="0"/>
      <w:marRight w:val="0"/>
      <w:marTop w:val="0"/>
      <w:marBottom w:val="0"/>
      <w:divBdr>
        <w:top w:val="none" w:sz="0" w:space="0" w:color="auto"/>
        <w:left w:val="none" w:sz="0" w:space="0" w:color="auto"/>
        <w:bottom w:val="none" w:sz="0" w:space="0" w:color="auto"/>
        <w:right w:val="none" w:sz="0" w:space="0" w:color="auto"/>
      </w:divBdr>
    </w:div>
    <w:div w:id="1439061218">
      <w:bodyDiv w:val="1"/>
      <w:marLeft w:val="0"/>
      <w:marRight w:val="0"/>
      <w:marTop w:val="0"/>
      <w:marBottom w:val="0"/>
      <w:divBdr>
        <w:top w:val="none" w:sz="0" w:space="0" w:color="auto"/>
        <w:left w:val="none" w:sz="0" w:space="0" w:color="auto"/>
        <w:bottom w:val="none" w:sz="0" w:space="0" w:color="auto"/>
        <w:right w:val="none" w:sz="0" w:space="0" w:color="auto"/>
      </w:divBdr>
    </w:div>
    <w:div w:id="1570462001">
      <w:bodyDiv w:val="1"/>
      <w:marLeft w:val="0"/>
      <w:marRight w:val="0"/>
      <w:marTop w:val="0"/>
      <w:marBottom w:val="0"/>
      <w:divBdr>
        <w:top w:val="none" w:sz="0" w:space="0" w:color="auto"/>
        <w:left w:val="none" w:sz="0" w:space="0" w:color="auto"/>
        <w:bottom w:val="none" w:sz="0" w:space="0" w:color="auto"/>
        <w:right w:val="none" w:sz="0" w:space="0" w:color="auto"/>
      </w:divBdr>
    </w:div>
    <w:div w:id="1673875761">
      <w:bodyDiv w:val="1"/>
      <w:marLeft w:val="0"/>
      <w:marRight w:val="0"/>
      <w:marTop w:val="0"/>
      <w:marBottom w:val="0"/>
      <w:divBdr>
        <w:top w:val="none" w:sz="0" w:space="0" w:color="auto"/>
        <w:left w:val="none" w:sz="0" w:space="0" w:color="auto"/>
        <w:bottom w:val="none" w:sz="0" w:space="0" w:color="auto"/>
        <w:right w:val="none" w:sz="0" w:space="0" w:color="auto"/>
      </w:divBdr>
    </w:div>
    <w:div w:id="1677491558">
      <w:bodyDiv w:val="1"/>
      <w:marLeft w:val="0"/>
      <w:marRight w:val="0"/>
      <w:marTop w:val="0"/>
      <w:marBottom w:val="0"/>
      <w:divBdr>
        <w:top w:val="none" w:sz="0" w:space="0" w:color="auto"/>
        <w:left w:val="none" w:sz="0" w:space="0" w:color="auto"/>
        <w:bottom w:val="none" w:sz="0" w:space="0" w:color="auto"/>
        <w:right w:val="none" w:sz="0" w:space="0" w:color="auto"/>
      </w:divBdr>
    </w:div>
    <w:div w:id="1854758981">
      <w:bodyDiv w:val="1"/>
      <w:marLeft w:val="0"/>
      <w:marRight w:val="0"/>
      <w:marTop w:val="0"/>
      <w:marBottom w:val="0"/>
      <w:divBdr>
        <w:top w:val="none" w:sz="0" w:space="0" w:color="auto"/>
        <w:left w:val="none" w:sz="0" w:space="0" w:color="auto"/>
        <w:bottom w:val="none" w:sz="0" w:space="0" w:color="auto"/>
        <w:right w:val="none" w:sz="0" w:space="0" w:color="auto"/>
      </w:divBdr>
    </w:div>
    <w:div w:id="1958219255">
      <w:bodyDiv w:val="1"/>
      <w:marLeft w:val="0"/>
      <w:marRight w:val="0"/>
      <w:marTop w:val="0"/>
      <w:marBottom w:val="0"/>
      <w:divBdr>
        <w:top w:val="none" w:sz="0" w:space="0" w:color="auto"/>
        <w:left w:val="none" w:sz="0" w:space="0" w:color="auto"/>
        <w:bottom w:val="none" w:sz="0" w:space="0" w:color="auto"/>
        <w:right w:val="none" w:sz="0" w:space="0" w:color="auto"/>
      </w:divBdr>
    </w:div>
    <w:div w:id="2012637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ametsoc.org/view/journals/bams/77/2/1520-0477_1996_077_0279_ioccft_2_0_co_2.xml"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beocat.k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6B56011B87214599F8FCBF15564208" ma:contentTypeVersion="10" ma:contentTypeDescription="Create a new document." ma:contentTypeScope="" ma:versionID="a48f6fbd083fbb738994cd79887107ff">
  <xsd:schema xmlns:xsd="http://www.w3.org/2001/XMLSchema" xmlns:xs="http://www.w3.org/2001/XMLSchema" xmlns:p="http://schemas.microsoft.com/office/2006/metadata/properties" xmlns:ns2="b0f3e7be-9aa7-4453-ab41-cc5f7ea03e6c" targetNamespace="http://schemas.microsoft.com/office/2006/metadata/properties" ma:root="true" ma:fieldsID="1793d4c778cb9895bbf9659d84aef222" ns2:_="">
    <xsd:import namespace="b0f3e7be-9aa7-4453-ab41-cc5f7ea03e6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f3e7be-9aa7-4453-ab41-cc5f7ea03e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0f3e7be-9aa7-4453-ab41-cc5f7ea03e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E1DAF8-D8E7-4D6E-90D3-97E88A360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f3e7be-9aa7-4453-ab41-cc5f7ea03e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8FD933-C20B-4EEB-BE75-0B821E2475AF}">
  <ds:schemaRefs>
    <ds:schemaRef ds:uri="http://schemas.openxmlformats.org/officeDocument/2006/bibliography"/>
  </ds:schemaRefs>
</ds:datastoreItem>
</file>

<file path=customXml/itemProps3.xml><?xml version="1.0" encoding="utf-8"?>
<ds:datastoreItem xmlns:ds="http://schemas.openxmlformats.org/officeDocument/2006/customXml" ds:itemID="{915CA9A3-D70A-4079-9B68-057149AF44A5}">
  <ds:schemaRefs>
    <ds:schemaRef ds:uri="http://schemas.microsoft.com/sharepoint/v3/contenttype/forms"/>
  </ds:schemaRefs>
</ds:datastoreItem>
</file>

<file path=customXml/itemProps4.xml><?xml version="1.0" encoding="utf-8"?>
<ds:datastoreItem xmlns:ds="http://schemas.openxmlformats.org/officeDocument/2006/customXml" ds:itemID="{63D5069C-9E35-4D16-8EB2-E259A54F4AAD}">
  <ds:schemaRefs>
    <ds:schemaRef ds:uri="http://schemas.microsoft.com/office/2006/metadata/properties"/>
    <ds:schemaRef ds:uri="http://schemas.microsoft.com/office/infopath/2007/PartnerControls"/>
    <ds:schemaRef ds:uri="b0f3e7be-9aa7-4453-ab41-cc5f7ea03e6c"/>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27</Pages>
  <Words>19326</Words>
  <Characters>110163</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Shear</dc:creator>
  <cp:keywords/>
  <dc:description/>
  <cp:lastModifiedBy>Walker Davis</cp:lastModifiedBy>
  <cp:revision>3</cp:revision>
  <dcterms:created xsi:type="dcterms:W3CDTF">2026-06-08T18:47:00Z</dcterms:created>
  <dcterms:modified xsi:type="dcterms:W3CDTF">2026-07-10T14:05:00Z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http://www.zotero.org/styles/journal-of-environmental-economics-and-management</vt:lpwstr>
  </property>
  <property fmtid="{D5CDD505-2E9C-101B-9397-08002B2CF9AE}" pid="13" name="Mendeley Recent Style Name 5_1">
    <vt:lpwstr>Journal of Environmental Economics and Management</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http://www.zotero.org/styles/plos-one</vt:lpwstr>
  </property>
  <property fmtid="{D5CDD505-2E9C-101B-9397-08002B2CF9AE}" pid="21" name="Mendeley Recent Style Name 9_1">
    <vt:lpwstr>PLOS ONE</vt:lpwstr>
  </property>
  <property fmtid="{D5CDD505-2E9C-101B-9397-08002B2CF9AE}" pid="22" name="Mendeley Document_1">
    <vt:lpwstr>True</vt:lpwstr>
  </property>
  <property fmtid="{D5CDD505-2E9C-101B-9397-08002B2CF9AE}" pid="23" name="Mendeley Citation Style_1">
    <vt:lpwstr>http://www.zotero.org/styles/plos-one</vt:lpwstr>
  </property>
  <property fmtid="{D5CDD505-2E9C-101B-9397-08002B2CF9AE}" pid="24" name="Mendeley Unique User Id_1">
    <vt:lpwstr>203e9959-8583-3748-9456-d923ef841686</vt:lpwstr>
  </property>
  <property fmtid="{D5CDD505-2E9C-101B-9397-08002B2CF9AE}" pid="25" name="ContentTypeId">
    <vt:lpwstr>0x0101005E6B56011B87214599F8FCBF15564208</vt:lpwstr>
  </property>
  <property fmtid="{D5CDD505-2E9C-101B-9397-08002B2CF9AE}" pid="26" name="MediaServiceImageTags">
    <vt:lpwstr/>
  </property>
  <property fmtid="{D5CDD505-2E9C-101B-9397-08002B2CF9AE}" pid="27" name="GrammarlyDocumentId">
    <vt:lpwstr>02f772a3-e048-445c-9395-f4f72735dcd4</vt:lpwstr>
  </property>
  <property fmtid="{D5CDD505-2E9C-101B-9397-08002B2CF9AE}" pid="28" name="ZOTERO_PREF_1">
    <vt:lpwstr>&lt;data data-version="3" zotero-version="9.0.2"&gt;&lt;session id="h6RDF2am"/&gt;&lt;style id="http://www.zotero.org/styles/ieee" locale="en-US" hasBibliography="1" bibliographyStyleHasBeenSet="1"/&gt;&lt;prefs&gt;&lt;pref name="fieldType" value="Field"/&gt;&lt;pref name="automaticJourn</vt:lpwstr>
  </property>
  <property fmtid="{D5CDD505-2E9C-101B-9397-08002B2CF9AE}" pid="29" name="ZOTERO_PREF_2">
    <vt:lpwstr>alAbbreviations" value="true"/&gt;&lt;pref name="dontAskDelayCitationUpdates" value="true"/&gt;&lt;/prefs&gt;&lt;/data&gt;</vt:lpwstr>
  </property>
</Properties>
</file>