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zgnct8dksq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i w:val="1"/>
          <w:iCs w:val="1"/>
          <w:sz w:val="34"/>
          <w:szCs w:val="34"/>
          <w:u w:val="single"/>
        </w:rPr>
      </w:pPr>
      <w:r w:rsidDel="00000000" w:rsidR="00000000" w:rsidRPr="00000000">
        <w:rPr>
          <w:rFonts w:ascii="Times New Roman" w:cs="Times New Roman" w:eastAsia="Times New Roman" w:hAnsi="Times New Roman"/>
          <w:b w:val="1"/>
          <w:bCs w:val="1"/>
          <w:i w:val="1"/>
          <w:iCs w:val="1"/>
          <w:sz w:val="34"/>
          <w:szCs w:val="34"/>
          <w:u w:val="single"/>
          <w:rtl w:val="0"/>
        </w:rPr>
        <w:t xml:space="preserve">CycleSIGHT</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Executive Summary</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The Problem</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0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ab/>
        <w:t xml:space="preserve">Kidney and liver disease are among the leading causes of death in the United States. A major, hidden contributor to such chronic organ injury is the unmonitored, long-term, high-dosage use of NSAIDs to manage debilitating menstrual pain.</w:t>
      </w:r>
    </w:p>
    <w:p w:rsidR="00000000" w:rsidDel="00000000" w:rsidP="00000000" w:rsidRDefault="00000000" w:rsidRPr="00000000" w14:paraId="0000000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Customer Discovery Plan</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09">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CycleSIGHT has conducted customer discovery through targeted outreach to individuals experiencing chronic menstrual pain. These conversations have focused on understanding current pain management practices, reliance on NSAIDs, awareness of genetic risk, and concerns around genetic testing and data privacy. Based on our customer discoveries, we have found that the top priorities of our target market are data privacy and cost. To address these concerns, we have implemented an Early Adopter’s Program to provide our services at a discounted rate for the first 2,500 customers, as well as an explicit and transparent user agreement where customers decide if they want their data to be deleted entirely or anonymized and kept for research purposes. Our next round of discovery will be targeted towards clinicians involved in women’s health and pain management to gain insight on the clinical utility of our test and how it will impact workflows.</w:t>
      </w:r>
    </w:p>
    <w:p w:rsidR="00000000" w:rsidDel="00000000" w:rsidP="00000000" w:rsidRDefault="00000000" w:rsidRPr="00000000" w14:paraId="0000000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u w:val="single"/>
          <w:rtl w:val="0"/>
        </w:rPr>
        <w:t xml:space="preserve">Team</w:t>
      </w: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0B">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Gloria Jackson, CEO, combines clinical experience with scientific training. A Master’s student in Bioinformatics with over five years at Atrium Health as a patient registrar, she has firsthand insight into gaps in care. With a background in Biology and bioinformatics research, she focuses on developing data-driven diagnostic tools for earlier and more effective intervention.</w:t>
      </w:r>
    </w:p>
    <w:p w:rsidR="00000000" w:rsidDel="00000000" w:rsidP="00000000" w:rsidRDefault="00000000" w:rsidRPr="00000000" w14:paraId="0000000C">
      <w:pPr>
        <w:spacing w:after="240" w:before="240" w:lineRule="auto"/>
        <w:ind w:firstLine="72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Aiyana Sharpe, CTO, leads development of CycleSIGHT’s diagnostic platform. With a background in Nursing Administration, Biology, and current studies in Bioinformatics, she brings expertise in clinical workflows and patient needs. She oversees assay design and data integration, ensuring the platform is both scientifically rigorous and clinically practical. </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b w:val="1"/>
          <w:bCs w:val="1"/>
          <w:i w:val="1"/>
          <w:iCs w:val="1"/>
          <w:sz w:val="78"/>
          <w:szCs w:val="78"/>
          <w:u w:val="single"/>
        </w:rPr>
      </w:pPr>
      <w:r w:rsidDel="00000000" w:rsidR="00000000" w:rsidRPr="00000000">
        <w:rPr>
          <w:rFonts w:ascii="Times New Roman" w:cs="Times New Roman" w:eastAsia="Times New Roman" w:hAnsi="Times New Roman"/>
          <w:sz w:val="25"/>
          <w:szCs w:val="25"/>
          <w:rtl w:val="0"/>
        </w:rPr>
        <w:t xml:space="preserve">Farruh Turgunov, CFO, is a Bioinformatics Master’s student with experience in financial strategy and quantitative analysis. He leads market evaluation, financial planning, and growth strategy, helping position CycleSIGHT for long-term sustainability and investment.</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i w:val="1"/>
          <w:iCs w:val="1"/>
          <w:sz w:val="78"/>
          <w:szCs w:val="78"/>
          <w:u w:val="single"/>
        </w:rPr>
      </w:pPr>
      <w:r w:rsidDel="00000000" w:rsidR="00000000" w:rsidRPr="00000000">
        <w:rPr>
          <w:rFonts w:ascii="Times New Roman" w:cs="Times New Roman" w:eastAsia="Times New Roman" w:hAnsi="Times New Roman"/>
          <w:b w:val="1"/>
          <w:bCs w:val="1"/>
          <w:i w:val="1"/>
          <w:iCs w:val="1"/>
          <w:sz w:val="78"/>
          <w:szCs w:val="78"/>
          <w:u w:val="single"/>
          <w:rtl w:val="0"/>
        </w:rPr>
        <w:t xml:space="preserve">CycleSIGHT</w:t>
      </w:r>
    </w:p>
    <w:p w:rsidR="00000000" w:rsidDel="00000000" w:rsidP="00000000" w:rsidRDefault="00000000" w:rsidRPr="00000000" w14:paraId="0000000F">
      <w:pPr>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“Because pain isn’t one-size-fits-all.”</w:t>
      </w:r>
    </w:p>
    <w:p w:rsidR="00000000" w:rsidDel="00000000" w:rsidP="00000000" w:rsidRDefault="00000000" w:rsidRPr="00000000" w14:paraId="00000010">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CEO: Gloria Jackson</w:t>
      </w:r>
    </w:p>
    <w:p w:rsidR="00000000" w:rsidDel="00000000" w:rsidP="00000000" w:rsidRDefault="00000000" w:rsidRPr="00000000" w14:paraId="0000001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CTO: Aiyana Sharpe</w:t>
      </w:r>
    </w:p>
    <w:p w:rsidR="00000000" w:rsidDel="00000000" w:rsidP="00000000" w:rsidRDefault="00000000" w:rsidRPr="00000000" w14:paraId="00000013">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CFO: Farruh Turgunov</w:t>
      </w:r>
    </w:p>
    <w:p w:rsidR="00000000" w:rsidDel="00000000" w:rsidP="00000000" w:rsidRDefault="00000000" w:rsidRPr="00000000" w14:paraId="00000014">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Problem</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Kidney and liver disease are among the leading causes of death in the United States. A major, hidden contributor to such chronic organ injury is the unmonitored, long-term, high-dosage use of NSAIDs to manage debilitating menstrual pain.</w:t>
      </w:r>
    </w:p>
    <w:p w:rsidR="00000000" w:rsidDel="00000000" w:rsidP="00000000" w:rsidRDefault="00000000" w:rsidRPr="00000000" w14:paraId="0000001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Our Product</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sz w:val="26"/>
          <w:szCs w:val="26"/>
          <w:rtl w:val="0"/>
        </w:rPr>
        <w:t xml:space="preserve">CycleSIGHT provides a CLIA-certified laboratory developed test that helps clinicians personalize menstrual pain treatment and identify hidden risks. The test looks for variants related to NSAID drug metabolism (SNPs </w:t>
      </w:r>
      <w:r w:rsidDel="00000000" w:rsidR="00000000" w:rsidRPr="00000000">
        <w:rPr>
          <w:rFonts w:ascii="Times New Roman" w:cs="Times New Roman" w:eastAsia="Times New Roman" w:hAnsi="Times New Roman"/>
          <w:color w:val="1f1f1f"/>
          <w:sz w:val="26"/>
          <w:szCs w:val="26"/>
          <w:rtl w:val="0"/>
        </w:rPr>
        <w:t xml:space="preserve">rs1799853 and rs1057910 in the </w:t>
      </w:r>
      <w:r w:rsidDel="00000000" w:rsidR="00000000" w:rsidRPr="00000000">
        <w:rPr>
          <w:rFonts w:ascii="Times New Roman" w:cs="Times New Roman" w:eastAsia="Times New Roman" w:hAnsi="Times New Roman"/>
          <w:i w:val="1"/>
          <w:iCs w:val="1"/>
          <w:color w:val="1f1f1f"/>
          <w:sz w:val="26"/>
          <w:szCs w:val="26"/>
          <w:rtl w:val="0"/>
        </w:rPr>
        <w:t xml:space="preserve">CYP2C9 </w:t>
      </w:r>
      <w:r w:rsidDel="00000000" w:rsidR="00000000" w:rsidRPr="00000000">
        <w:rPr>
          <w:rFonts w:ascii="Times New Roman" w:cs="Times New Roman" w:eastAsia="Times New Roman" w:hAnsi="Times New Roman"/>
          <w:color w:val="1f1f1f"/>
          <w:sz w:val="26"/>
          <w:szCs w:val="26"/>
          <w:rtl w:val="0"/>
        </w:rPr>
        <w:t xml:space="preserve">gene on chromosome 10</w:t>
      </w:r>
      <w:r w:rsidDel="00000000" w:rsidR="00000000" w:rsidRPr="00000000">
        <w:rPr>
          <w:rFonts w:ascii="Times New Roman" w:cs="Times New Roman" w:eastAsia="Times New Roman" w:hAnsi="Times New Roman"/>
          <w:sz w:val="26"/>
          <w:szCs w:val="26"/>
          <w:rtl w:val="0"/>
        </w:rPr>
        <w:t xml:space="preserve"> ), pain sensitivity (SNPs </w:t>
      </w:r>
      <w:r w:rsidDel="00000000" w:rsidR="00000000" w:rsidRPr="00000000">
        <w:rPr>
          <w:rFonts w:ascii="Times New Roman" w:cs="Times New Roman" w:eastAsia="Times New Roman" w:hAnsi="Times New Roman"/>
          <w:color w:val="1f1f1f"/>
          <w:sz w:val="26"/>
          <w:szCs w:val="26"/>
          <w:rtl w:val="0"/>
        </w:rPr>
        <w:t xml:space="preserve">rs4680 in the COMT gene on chromosome 22 and rs20417 in the PTGS2 (COX-2) gene on chromosome 1),</w:t>
      </w:r>
      <w:r w:rsidDel="00000000" w:rsidR="00000000" w:rsidRPr="00000000">
        <w:rPr>
          <w:rFonts w:ascii="Times New Roman" w:cs="Times New Roman" w:eastAsia="Times New Roman" w:hAnsi="Times New Roman"/>
          <w:sz w:val="26"/>
          <w:szCs w:val="26"/>
          <w:rtl w:val="0"/>
        </w:rPr>
        <w:t xml:space="preserve"> and endometriosis risk (SNPs </w:t>
      </w:r>
      <w:r w:rsidDel="00000000" w:rsidR="00000000" w:rsidRPr="00000000">
        <w:rPr>
          <w:rFonts w:ascii="Times New Roman" w:cs="Times New Roman" w:eastAsia="Times New Roman" w:hAnsi="Times New Roman"/>
          <w:color w:val="1f1f1f"/>
          <w:sz w:val="26"/>
          <w:szCs w:val="26"/>
          <w:rtl w:val="0"/>
        </w:rPr>
        <w:t xml:space="preserve">rs17561 in IL1A gene on chromosome 2</w:t>
      </w:r>
      <w:r w:rsidDel="00000000" w:rsidR="00000000" w:rsidRPr="00000000">
        <w:rPr>
          <w:rFonts w:ascii="Times New Roman" w:cs="Times New Roman" w:eastAsia="Times New Roman" w:hAnsi="Times New Roman"/>
          <w:sz w:val="26"/>
          <w:szCs w:val="26"/>
          <w:rtl w:val="0"/>
        </w:rPr>
        <w:t xml:space="preserve"> and rs7521902 in the WNT4 gene on chromosome 1).</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Customer Discovery Plan</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CycleSIGHT has conducted customer discovery through targeted outreach to individuals experiencing chronic menstrual pain. These conversations have focused on understanding current pain management practices, reliance on NSAIDs, awareness of genetic risk, and concerns around genetic testing and data privacy. Based on our customer discoveries, we have found that the top priorities of our target market are data privacy and cost. To address these concerns, we have implemented an Early Adopter’s Program to provide our services at a discounted rate for the first 2,500 customers, as well as an explicit and transparent user agreement where customers decide if they want their data to be deleted entirely, kept for their own personal use only, or anonymized and kept for research purposes only. Our next round of discovery will be targeted towards clinicians involved in women’s health and pain management to gain insight on the clinical utility of our test and how it will impact workflows.</w:t>
      </w:r>
    </w:p>
    <w:p w:rsidR="00000000" w:rsidDel="00000000" w:rsidP="00000000" w:rsidRDefault="00000000" w:rsidRPr="00000000" w14:paraId="0000001D">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Our Team</w:t>
      </w:r>
    </w:p>
    <w:p w:rsidR="00000000" w:rsidDel="00000000" w:rsidP="00000000" w:rsidRDefault="00000000" w:rsidRPr="00000000" w14:paraId="0000001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Gloria Jackson, CEO of CycleSIGHT, combines clinical experience with scientific training. A Master’s student in Bioinformatics with over five years at Atrium Health as a patient registrar, she has firsthand insight into gaps in care. With a background in Biology and bioinformatics research, she focuses on developing data-driven diagnostic tools for earlier and more effective intervention.</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Aiyana Sharpe, CTO, leads development of CycleSIGHT’s diagnostic platform. With a background in Nursing Administration, Biology, and current studies in Bioinformatics, she brings expertise in clinical workflows and patient needs. She oversees assay design and data integration, ensuring the platform is both scientifically rigorous and clinically practical.</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Farruh Turgunov, CFO, is a Bioinformatics Master’s student with experience in financial strategy and quantitative analysis. He leads market evaluation, financial planning, and growth strategy, helping position CycleSIGHT for long-term sustainability and investment.</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Timeline</w:t>
      </w:r>
    </w:p>
    <w:p w:rsidR="00000000" w:rsidDel="00000000" w:rsidP="00000000" w:rsidRDefault="00000000" w:rsidRPr="00000000" w14:paraId="00000022">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the next 1–3 months, CycleSIGHT will formalize its company structure, begin hiring for key roles, and conduct structured customer discovery with individuals experiencing menstrual pain and relevant clinicians. These efforts will refine messaging, assess clinical needs, and identify adoption barriers, while early clinical and academic partnerships are established to guide assay design and integration.</w:t>
      </w:r>
    </w:p>
    <w:p w:rsidR="00000000" w:rsidDel="00000000" w:rsidP="00000000" w:rsidRDefault="00000000" w:rsidRPr="00000000" w14:paraId="00000023">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4–8 months, CycleSIGHT will initiate verification trials to validate SNP targets related to NSAID metabolism, pain sensitivity, and endometriosis risk. The company will refine lab workflows, optimize assays, and begin regulatory planning toward CLIA certification, supported by research partnerships.</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6–12 months, CycleSIGHT will pursue CLIA certification, expand bioinformatics and clinical teams, and finalize diagnostic workflows. It will also build secure data infrastructure and begin pilot testing with partner clinics to evaluate usability, turnaround time, and clinical utility.</w:t>
      </w:r>
    </w:p>
    <w:p w:rsidR="00000000" w:rsidDel="00000000" w:rsidP="00000000" w:rsidRDefault="00000000" w:rsidRPr="00000000" w14:paraId="00000025">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one year, CycleSIGHT plans to launch an initial clinical pilot program to assess real-world performance, patient outcomes, and workflow integration, refining the product before broader commercialization.</w:t>
      </w:r>
    </w:p>
    <w:p w:rsidR="00000000" w:rsidDel="00000000" w:rsidP="00000000" w:rsidRDefault="00000000" w:rsidRPr="00000000" w14:paraId="00000026">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Within two years, CycleSIGHT aims to scale laboratory capacity, grow its clinical customer base, expand partnerships, and pursue reimbursement pathways, building a sustainable revenue model through diagnostic services and clinical insights</w:t>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Budget</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research, staffing, clinical validation, regulatory preparation, and commercialization, CycleSIGHT is seeking an initial budget of $10 million. Primary financial priorities include:</w:t>
      </w:r>
    </w:p>
    <w:p w:rsidR="00000000" w:rsidDel="00000000" w:rsidP="00000000" w:rsidRDefault="00000000" w:rsidRPr="00000000" w14:paraId="0000002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&amp; Development and Assay Validation ($2.0M)</w:t>
        <w:br w:type="textWrapping"/>
        <w:t xml:space="preserve">Funding will support laboratory verification trials, assay optimization, bioinformatics pipeline development, and collaboration with clinical and academic partners to validate SNP targets and evaluate clinical utility.</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Staffing and Personnel ($3.0M)</w:t>
        <w:br w:type="textWrapping"/>
        <w:t xml:space="preserve">Hiring will focus on bioinformaticians, clinical research staff, laboratory personnel, and operations support. Funding will cover competitive salaries, benefits, and recruitment efforts targeting regional graduate programs and experienced clinical technologists.</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Regulatory &amp; CLIA Certification ($1.2M)</w:t>
        <w:br w:type="textWrapping"/>
        <w:t xml:space="preserve">Includes costs associated with laboratory certification, compliance consulting, quality management systems, documentation, and validation studies required for laboratory-developed testing.</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&amp; Lab Operations ($1.8M)</w:t>
        <w:br w:type="textWrapping"/>
        <w:t xml:space="preserve"> Covers laboratory space leasing or outsourcing, sequencing/genotyping services, secure data storage systems, and clinical reporting platforms necessary to maintain patient privacy and regulatory compliance.</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Outreach, and Clinical Partnerships ($1.0M)</w:t>
        <w:br w:type="textWrapping"/>
        <w:t xml:space="preserve"> Investment in advertising, conference travel, clinician engagement, and educational outreach to increase awareness among providers and patients.</w:t>
        <w:br w:type="textWrapping"/>
      </w:r>
    </w:p>
    <w:p w:rsidR="00000000" w:rsidDel="00000000" w:rsidP="00000000" w:rsidRDefault="00000000" w:rsidRPr="00000000" w14:paraId="0000002E">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&amp; Administrative Costs ($1.0M)</w:t>
        <w:br w:type="textWrapping"/>
        <w:t xml:space="preserve"> General operational expenses including legal services, financial planning, insurance, software subscriptions, and business development activities.</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