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B36" w:rsidRDefault="00283F03">
      <w:pPr>
        <w:pStyle w:val="Ttulo"/>
        <w:ind w:firstLine="0"/>
      </w:pPr>
      <w:r>
        <w:t>Reglas de asociación en ataques de tiburones</w:t>
      </w:r>
    </w:p>
    <w:p w:rsidR="003C5B36" w:rsidRDefault="00283F03">
      <w:pPr>
        <w:spacing w:after="220"/>
        <w:jc w:val="center"/>
      </w:pPr>
      <w:r>
        <w:t xml:space="preserve">Franco </w:t>
      </w:r>
      <w:proofErr w:type="spellStart"/>
      <w:r>
        <w:t>Betteo</w:t>
      </w:r>
      <w:proofErr w:type="spellEnd"/>
      <w:r>
        <w:t xml:space="preserve">, Francisco </w:t>
      </w:r>
      <w:proofErr w:type="spellStart"/>
      <w:r>
        <w:t>Valentini</w:t>
      </w:r>
      <w:proofErr w:type="spellEnd"/>
    </w:p>
    <w:p w:rsidR="003C5B36" w:rsidRDefault="00283F03">
      <w:pPr>
        <w:spacing w:before="283"/>
        <w:ind w:left="567" w:right="567" w:firstLine="0"/>
        <w:rPr>
          <w:i/>
          <w:sz w:val="18"/>
          <w:szCs w:val="18"/>
        </w:rPr>
      </w:pPr>
      <w:r>
        <w:rPr>
          <w:b/>
          <w:sz w:val="18"/>
          <w:szCs w:val="18"/>
        </w:rPr>
        <w:t xml:space="preserve">Resumen. </w:t>
      </w:r>
      <w:r>
        <w:rPr>
          <w:sz w:val="18"/>
          <w:szCs w:val="18"/>
        </w:rPr>
        <w:t>En el presente trabajo se realiza un análisis de ataques de tiburones a humanos a partir de una base de casos históricos ocurridos a lo largo del mundo. El objetivo general es encontrar reglas de asociación entre los distintos atributos que definen a cada ataque de modo de identificar patrones interesantes y no triviales</w:t>
      </w:r>
      <w:r>
        <w:t>.</w:t>
      </w:r>
      <w:r>
        <w:rPr>
          <w:sz w:val="18"/>
          <w:szCs w:val="18"/>
        </w:rPr>
        <w:t xml:space="preserve"> Para tal fin, los datos fueron sometidos a un análisis exploratorio, a tareas de preprocesamiento y por último al algoritmo apriori para encontrar </w:t>
      </w:r>
      <w:proofErr w:type="spellStart"/>
      <w:r>
        <w:rPr>
          <w:sz w:val="18"/>
          <w:szCs w:val="18"/>
        </w:rPr>
        <w:t>itemsets</w:t>
      </w:r>
      <w:proofErr w:type="spellEnd"/>
      <w:r>
        <w:rPr>
          <w:sz w:val="18"/>
          <w:szCs w:val="18"/>
        </w:rPr>
        <w:t xml:space="preserve"> frecuentes y así generar reglas de asociación. Se utiliza el lift como métrica de evaluación principal.</w:t>
      </w:r>
    </w:p>
    <w:p w:rsidR="003C5B36" w:rsidRDefault="00283F03">
      <w:pPr>
        <w:keepNext/>
        <w:keepLines/>
        <w:pBdr>
          <w:top w:val="nil"/>
          <w:left w:val="nil"/>
          <w:bottom w:val="nil"/>
          <w:right w:val="nil"/>
          <w:between w:val="nil"/>
        </w:pBdr>
        <w:tabs>
          <w:tab w:val="left" w:pos="454"/>
        </w:tabs>
        <w:spacing w:before="520" w:after="280"/>
        <w:ind w:firstLine="0"/>
        <w:rPr>
          <w:b/>
          <w:sz w:val="24"/>
          <w:szCs w:val="24"/>
        </w:rPr>
      </w:pPr>
      <w:r>
        <w:rPr>
          <w:b/>
          <w:sz w:val="24"/>
          <w:szCs w:val="24"/>
        </w:rPr>
        <w:t xml:space="preserve">1   </w:t>
      </w:r>
      <w:proofErr w:type="gramStart"/>
      <w:r>
        <w:rPr>
          <w:b/>
          <w:sz w:val="24"/>
          <w:szCs w:val="24"/>
        </w:rPr>
        <w:t>Introducción</w:t>
      </w:r>
      <w:proofErr w:type="gramEnd"/>
      <w:r>
        <w:rPr>
          <w:b/>
          <w:sz w:val="24"/>
          <w:szCs w:val="24"/>
        </w:rPr>
        <w:t xml:space="preserve"> </w:t>
      </w:r>
    </w:p>
    <w:p w:rsidR="003C5B36" w:rsidRDefault="00283F03">
      <w:pPr>
        <w:spacing w:after="120" w:line="288" w:lineRule="auto"/>
      </w:pPr>
      <w:r>
        <w:t xml:space="preserve">En el presente trabajo se realiza un análisis de ataques de tiburones a humanos a partir de un dataset cuya fuente original es </w:t>
      </w:r>
      <w:r>
        <w:rPr>
          <w:i/>
        </w:rPr>
        <w:t>sharkattackfile.net</w:t>
      </w:r>
      <w:r>
        <w:t xml:space="preserve"> y que recolecta casos históricos a lo largo del mundo y de la historia con atributos que los definen. El objetivo general es encontrar reglas de asociación entre distintas variables relevantes del problema y así descubrir coocurrencias de factores interesantes y no triviales. El análisis presentado está conformado por las siguientes etapas:</w:t>
      </w:r>
    </w:p>
    <w:p w:rsidR="003C5B36" w:rsidRDefault="00283F03">
      <w:pPr>
        <w:numPr>
          <w:ilvl w:val="0"/>
          <w:numId w:val="3"/>
        </w:numPr>
        <w:spacing w:after="120" w:line="288" w:lineRule="auto"/>
        <w:contextualSpacing/>
      </w:pPr>
      <w:r>
        <w:t>Selección de los atributos cuya información y formato resultan útiles para la aplicación de reglas de asociación.</w:t>
      </w:r>
    </w:p>
    <w:p w:rsidR="003C5B36" w:rsidRDefault="00283F03">
      <w:pPr>
        <w:numPr>
          <w:ilvl w:val="0"/>
          <w:numId w:val="3"/>
        </w:numPr>
        <w:spacing w:after="120" w:line="288" w:lineRule="auto"/>
        <w:contextualSpacing/>
      </w:pPr>
      <w:r>
        <w:t>Preprocesamiento de los datos y construcción de atributos nuevos.</w:t>
      </w:r>
    </w:p>
    <w:p w:rsidR="003C5B36" w:rsidRDefault="00283F03">
      <w:pPr>
        <w:numPr>
          <w:ilvl w:val="0"/>
          <w:numId w:val="3"/>
        </w:numPr>
        <w:spacing w:after="120" w:line="288" w:lineRule="auto"/>
        <w:contextualSpacing/>
      </w:pPr>
      <w:r>
        <w:t>Análisis exploratorio de las variables, tanto de manera individual como conjunta.</w:t>
      </w:r>
    </w:p>
    <w:p w:rsidR="003C5B36" w:rsidRDefault="00283F03">
      <w:pPr>
        <w:numPr>
          <w:ilvl w:val="0"/>
          <w:numId w:val="3"/>
        </w:numPr>
        <w:spacing w:after="120" w:line="288" w:lineRule="auto"/>
        <w:contextualSpacing/>
      </w:pPr>
      <w:r>
        <w:t>Definición de dos configuraciones posibles para el set de datos a analizar.</w:t>
      </w:r>
    </w:p>
    <w:p w:rsidR="003C5B36" w:rsidRDefault="00283F03">
      <w:pPr>
        <w:numPr>
          <w:ilvl w:val="0"/>
          <w:numId w:val="3"/>
        </w:numPr>
        <w:spacing w:after="120" w:line="288" w:lineRule="auto"/>
        <w:contextualSpacing/>
      </w:pPr>
      <w:r>
        <w:t xml:space="preserve">Aplicación del algoritmo apriori sobre ambas configuraciones, caracterización de las reglas obtenidas y selección de reglas consideradas robustas e interesantes. </w:t>
      </w:r>
    </w:p>
    <w:p w:rsidR="003C5B36" w:rsidRDefault="00283F03">
      <w:pPr>
        <w:numPr>
          <w:ilvl w:val="0"/>
          <w:numId w:val="3"/>
        </w:numPr>
        <w:spacing w:after="120" w:line="288" w:lineRule="auto"/>
        <w:contextualSpacing/>
      </w:pPr>
      <w:r>
        <w:t>Identificación de características que hacen que un ataque sea fatal</w:t>
      </w:r>
    </w:p>
    <w:p w:rsidR="003C5B36" w:rsidRDefault="00283F03">
      <w:pPr>
        <w:keepNext/>
        <w:keepLines/>
        <w:pBdr>
          <w:top w:val="nil"/>
          <w:left w:val="nil"/>
          <w:bottom w:val="nil"/>
          <w:right w:val="nil"/>
          <w:between w:val="nil"/>
        </w:pBdr>
        <w:tabs>
          <w:tab w:val="left" w:pos="454"/>
        </w:tabs>
        <w:spacing w:before="520" w:after="280"/>
        <w:ind w:firstLine="0"/>
        <w:rPr>
          <w:b/>
          <w:sz w:val="24"/>
          <w:szCs w:val="24"/>
        </w:rPr>
      </w:pPr>
      <w:r>
        <w:rPr>
          <w:b/>
          <w:sz w:val="24"/>
          <w:szCs w:val="24"/>
        </w:rPr>
        <w:t xml:space="preserve">2   </w:t>
      </w:r>
      <w:proofErr w:type="gramStart"/>
      <w:r>
        <w:rPr>
          <w:b/>
          <w:sz w:val="24"/>
          <w:szCs w:val="24"/>
        </w:rPr>
        <w:t>Materiales</w:t>
      </w:r>
      <w:proofErr w:type="gramEnd"/>
      <w:r>
        <w:rPr>
          <w:b/>
          <w:sz w:val="24"/>
          <w:szCs w:val="24"/>
        </w:rPr>
        <w:t xml:space="preserve"> y Métodos</w:t>
      </w:r>
    </w:p>
    <w:p w:rsidR="003C5B36" w:rsidRDefault="00283F03">
      <w:pPr>
        <w:spacing w:after="120" w:line="288" w:lineRule="auto"/>
      </w:pPr>
      <w:r>
        <w:t>El dataset consiste en 5.897 ataques de tiburones registrados a lo largo de la historia en distintas partes del mundo. Fueron omitidos del análisis aquellos casos muy antiguos o de dudosa ocurrencia (año de ocurrencia menor a 500 d.C.), de modo que se realizó el análisis exploratorio con los 5.772 casos restantes, con ataques acontecidos entre los años 1543 y 2016. Todos los datos fueron procesadas usando el lenguaje R [4]. Los gráficos y cuadros presentados se realizaron con las librerías ggplot2 [5], sjPlot [3] y arulesViz [1].</w:t>
      </w:r>
    </w:p>
    <w:p w:rsidR="003C5B36" w:rsidRDefault="00283F03">
      <w:pPr>
        <w:spacing w:after="120" w:line="288" w:lineRule="auto"/>
      </w:pPr>
      <w:r>
        <w:t xml:space="preserve">Múltiples atributos del dataset original fueron omitidos por su irrelevancia para el estudio de patrones de asociación o porque su alta granularidad volvió muy costoso el procesamiento para extraer información útil. Entre este último motivo se destacan </w:t>
      </w:r>
      <w:r>
        <w:lastRenderedPageBreak/>
        <w:t xml:space="preserve">atributos que indican tipo de lesión generada, la especie del tiburón involucrado y el distrito donde ocurrió el ataque. </w:t>
      </w:r>
      <w:r w:rsidR="00AA491C">
        <w:t>Asimismo,</w:t>
      </w:r>
      <w:r>
        <w:t xml:space="preserve"> se decidió omitir la actividad realizada por las personas en el momento del ataque, debido a que el solapamiento entre un gran número de niveles de la variable impidió construir de forma eficiente niveles mutuamente excluyentes. </w:t>
      </w:r>
    </w:p>
    <w:p w:rsidR="003C5B36" w:rsidRDefault="00283F03">
      <w:pPr>
        <w:spacing w:after="120" w:line="288" w:lineRule="auto"/>
      </w:pPr>
      <w:r>
        <w:t>En base a la información restante disponible, se construyeron las siguientes variables:</w:t>
      </w:r>
    </w:p>
    <w:p w:rsidR="003C5B36" w:rsidRDefault="00283F03">
      <w:pPr>
        <w:numPr>
          <w:ilvl w:val="0"/>
          <w:numId w:val="1"/>
        </w:numPr>
        <w:spacing w:after="120" w:line="288" w:lineRule="auto"/>
        <w:contextualSpacing/>
      </w:pPr>
      <w:proofErr w:type="spellStart"/>
      <w:r>
        <w:t>Region</w:t>
      </w:r>
      <w:proofErr w:type="spellEnd"/>
      <w:r>
        <w:t>. Se construyó seleccionando las 29 regiones con mayor frecuencia absoluta. Las regiones restantes fueron codificadas como “otros”, mientras que el nivel “unknown” indica la ausencia de la región de ocurrencia del ataque.</w:t>
      </w:r>
    </w:p>
    <w:p w:rsidR="003C5B36" w:rsidRDefault="00283F03">
      <w:pPr>
        <w:numPr>
          <w:ilvl w:val="0"/>
          <w:numId w:val="1"/>
        </w:numPr>
        <w:spacing w:after="120" w:line="288" w:lineRule="auto"/>
        <w:contextualSpacing/>
      </w:pPr>
      <w:r>
        <w:t>Horario. En base a la información disponible acerca del horario -- cuya especificidad en la base original era muy variable -- se generó una variable de tres niveles: AM, PM y unknown. Debido al alto costo de procesamiento estimado, los niveles con muy baja frecuencia relativa fueron catalogados como “unknown”. Se estimó que la cantidad máxima de casos erróneamente etiquetados como unknown es 159.</w:t>
      </w:r>
    </w:p>
    <w:p w:rsidR="003C5B36" w:rsidRDefault="00283F03">
      <w:pPr>
        <w:numPr>
          <w:ilvl w:val="0"/>
          <w:numId w:val="1"/>
        </w:numPr>
        <w:spacing w:after="120" w:line="288" w:lineRule="auto"/>
        <w:contextualSpacing/>
      </w:pPr>
      <w:r>
        <w:t xml:space="preserve">Edad. Se construyó siguiendo un criterio análogo al utilizado para la variable “horario”. Está constituida por cuatro niveles: Young (menores de 16 años), </w:t>
      </w:r>
      <w:proofErr w:type="spellStart"/>
      <w:r>
        <w:t>Adult</w:t>
      </w:r>
      <w:proofErr w:type="spellEnd"/>
      <w:r>
        <w:t xml:space="preserve"> (entre 16 y 50 años), Old (mayores de 50 años) y unknown (edad desconocida). Se estimó que la cantidad máxima de registros erróneamente etiquetados como “unknown” es 13.    </w:t>
      </w:r>
    </w:p>
    <w:p w:rsidR="003C5B36" w:rsidRDefault="00283F03">
      <w:pPr>
        <w:spacing w:after="120" w:line="288" w:lineRule="auto"/>
      </w:pPr>
      <w:r>
        <w:t xml:space="preserve">Las variables finalmente utilizadas en el análisis se describen en el cuadro 1. </w:t>
      </w:r>
    </w:p>
    <w:p w:rsidR="003C5B36" w:rsidRDefault="00283F03" w:rsidP="00AA491C">
      <w:pPr>
        <w:spacing w:line="288" w:lineRule="auto"/>
        <w:jc w:val="center"/>
        <w:rPr>
          <w:b/>
        </w:rPr>
      </w:pPr>
      <w:r>
        <w:rPr>
          <w:b/>
        </w:rPr>
        <w:t>Cuadro 1. Descripción de los atributos del set de datos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06"/>
        <w:gridCol w:w="1134"/>
        <w:gridCol w:w="2268"/>
        <w:gridCol w:w="2634"/>
      </w:tblGrid>
      <w:tr w:rsidR="00AA491C" w:rsidRPr="00AA491C" w:rsidTr="00AA491C">
        <w:tc>
          <w:tcPr>
            <w:tcW w:w="1106" w:type="dxa"/>
            <w:tcBorders>
              <w:top w:val="double" w:sz="6" w:space="0" w:color="auto"/>
              <w:bottom w:val="single" w:sz="6" w:space="0" w:color="000000"/>
            </w:tcBorders>
            <w:tcMar>
              <w:top w:w="113" w:type="dxa"/>
              <w:left w:w="113" w:type="dxa"/>
              <w:bottom w:w="113" w:type="dxa"/>
              <w:right w:w="113" w:type="dxa"/>
            </w:tcMar>
            <w:vAlign w:val="center"/>
            <w:hideMark/>
          </w:tcPr>
          <w:p w:rsidR="00AA491C" w:rsidRPr="00AA491C" w:rsidRDefault="00AA491C" w:rsidP="00283F03">
            <w:pPr>
              <w:jc w:val="center"/>
              <w:rPr>
                <w:rFonts w:eastAsia="Times New Roman"/>
                <w:i/>
                <w:iCs/>
                <w:sz w:val="16"/>
                <w:szCs w:val="24"/>
              </w:rPr>
            </w:pPr>
            <w:r w:rsidRPr="00AA491C">
              <w:rPr>
                <w:rFonts w:eastAsia="Times New Roman"/>
                <w:i/>
                <w:iCs/>
                <w:sz w:val="16"/>
              </w:rPr>
              <w:t>Variable</w:t>
            </w:r>
          </w:p>
        </w:tc>
        <w:tc>
          <w:tcPr>
            <w:tcW w:w="1134" w:type="dxa"/>
            <w:tcBorders>
              <w:top w:val="double" w:sz="6" w:space="0" w:color="auto"/>
              <w:bottom w:val="single" w:sz="6" w:space="0" w:color="000000"/>
            </w:tcBorders>
            <w:tcMar>
              <w:top w:w="113" w:type="dxa"/>
              <w:left w:w="113" w:type="dxa"/>
              <w:bottom w:w="113" w:type="dxa"/>
              <w:right w:w="113" w:type="dxa"/>
            </w:tcMar>
            <w:vAlign w:val="center"/>
            <w:hideMark/>
          </w:tcPr>
          <w:p w:rsidR="00AA491C" w:rsidRPr="00AA491C" w:rsidRDefault="00AA491C" w:rsidP="00283F03">
            <w:pPr>
              <w:jc w:val="center"/>
              <w:rPr>
                <w:rFonts w:eastAsia="Times New Roman"/>
                <w:i/>
                <w:iCs/>
                <w:sz w:val="16"/>
              </w:rPr>
            </w:pPr>
            <w:r w:rsidRPr="00AA491C">
              <w:rPr>
                <w:rFonts w:eastAsia="Times New Roman"/>
                <w:i/>
                <w:iCs/>
                <w:sz w:val="16"/>
              </w:rPr>
              <w:t>Tipo</w:t>
            </w:r>
          </w:p>
        </w:tc>
        <w:tc>
          <w:tcPr>
            <w:tcW w:w="2268" w:type="dxa"/>
            <w:tcBorders>
              <w:top w:val="double" w:sz="6" w:space="0" w:color="auto"/>
              <w:bottom w:val="single" w:sz="6" w:space="0" w:color="000000"/>
            </w:tcBorders>
            <w:tcMar>
              <w:top w:w="113" w:type="dxa"/>
              <w:left w:w="113" w:type="dxa"/>
              <w:bottom w:w="113" w:type="dxa"/>
              <w:right w:w="113" w:type="dxa"/>
            </w:tcMar>
            <w:vAlign w:val="center"/>
            <w:hideMark/>
          </w:tcPr>
          <w:p w:rsidR="00AA491C" w:rsidRPr="00AA491C" w:rsidRDefault="00D6295D" w:rsidP="00283F03">
            <w:pPr>
              <w:jc w:val="center"/>
              <w:rPr>
                <w:rFonts w:eastAsia="Times New Roman"/>
                <w:i/>
                <w:iCs/>
                <w:sz w:val="16"/>
              </w:rPr>
            </w:pPr>
            <w:r w:rsidRPr="00AA491C">
              <w:rPr>
                <w:rFonts w:eastAsia="Times New Roman"/>
                <w:i/>
                <w:iCs/>
                <w:sz w:val="16"/>
              </w:rPr>
              <w:t>Descripción</w:t>
            </w:r>
          </w:p>
        </w:tc>
        <w:tc>
          <w:tcPr>
            <w:tcW w:w="2634" w:type="dxa"/>
            <w:tcBorders>
              <w:top w:val="double" w:sz="6" w:space="0" w:color="auto"/>
              <w:bottom w:val="single" w:sz="6" w:space="0" w:color="000000"/>
            </w:tcBorders>
            <w:tcMar>
              <w:top w:w="113" w:type="dxa"/>
              <w:left w:w="113" w:type="dxa"/>
              <w:bottom w:w="113" w:type="dxa"/>
              <w:right w:w="113" w:type="dxa"/>
            </w:tcMar>
            <w:vAlign w:val="center"/>
            <w:hideMark/>
          </w:tcPr>
          <w:p w:rsidR="00AA491C" w:rsidRPr="00AA491C" w:rsidRDefault="00D6295D" w:rsidP="00283F03">
            <w:pPr>
              <w:jc w:val="center"/>
              <w:rPr>
                <w:rFonts w:eastAsia="Times New Roman"/>
                <w:i/>
                <w:iCs/>
                <w:sz w:val="16"/>
              </w:rPr>
            </w:pPr>
            <w:r w:rsidRPr="00AA491C">
              <w:rPr>
                <w:rFonts w:eastAsia="Times New Roman"/>
                <w:i/>
                <w:iCs/>
                <w:sz w:val="16"/>
              </w:rPr>
              <w:t>Estadística</w:t>
            </w:r>
          </w:p>
        </w:tc>
      </w:tr>
      <w:tr w:rsidR="00AA491C" w:rsidRPr="00AA491C" w:rsidTr="00AA491C">
        <w:tc>
          <w:tcPr>
            <w:tcW w:w="1106" w:type="dxa"/>
            <w:tcMar>
              <w:top w:w="113" w:type="dxa"/>
              <w:left w:w="113" w:type="dxa"/>
              <w:bottom w:w="113" w:type="dxa"/>
              <w:right w:w="113" w:type="dxa"/>
            </w:tcMar>
            <w:hideMark/>
          </w:tcPr>
          <w:p w:rsidR="00AA491C" w:rsidRPr="00AA491C" w:rsidRDefault="00AA491C" w:rsidP="00283F03">
            <w:pPr>
              <w:jc w:val="center"/>
              <w:rPr>
                <w:rFonts w:eastAsia="Times New Roman"/>
                <w:sz w:val="16"/>
              </w:rPr>
            </w:pPr>
            <w:r>
              <w:rPr>
                <w:rFonts w:eastAsia="Times New Roman"/>
                <w:sz w:val="16"/>
              </w:rPr>
              <w:t>Año</w:t>
            </w:r>
          </w:p>
        </w:tc>
        <w:tc>
          <w:tcPr>
            <w:tcW w:w="1134" w:type="dxa"/>
            <w:tcMar>
              <w:top w:w="113" w:type="dxa"/>
              <w:left w:w="113" w:type="dxa"/>
              <w:bottom w:w="113" w:type="dxa"/>
              <w:right w:w="113" w:type="dxa"/>
            </w:tcMar>
            <w:hideMark/>
          </w:tcPr>
          <w:p w:rsidR="00AA491C" w:rsidRPr="00AA491C" w:rsidRDefault="00AA491C" w:rsidP="00283F03">
            <w:pPr>
              <w:jc w:val="center"/>
              <w:rPr>
                <w:rFonts w:eastAsia="Times New Roman"/>
                <w:sz w:val="16"/>
              </w:rPr>
            </w:pPr>
            <w:r>
              <w:rPr>
                <w:rFonts w:eastAsia="Times New Roman"/>
                <w:sz w:val="16"/>
              </w:rPr>
              <w:t>Numérica</w:t>
            </w:r>
          </w:p>
        </w:tc>
        <w:tc>
          <w:tcPr>
            <w:tcW w:w="2268" w:type="dxa"/>
            <w:tcMar>
              <w:top w:w="113" w:type="dxa"/>
              <w:left w:w="113" w:type="dxa"/>
              <w:bottom w:w="113" w:type="dxa"/>
              <w:right w:w="113" w:type="dxa"/>
            </w:tcMar>
            <w:hideMark/>
          </w:tcPr>
          <w:p w:rsidR="00AA491C" w:rsidRPr="00AA491C" w:rsidRDefault="00AA491C" w:rsidP="00AA491C">
            <w:pPr>
              <w:jc w:val="left"/>
              <w:rPr>
                <w:rFonts w:eastAsia="Times New Roman"/>
                <w:sz w:val="16"/>
              </w:rPr>
            </w:pPr>
            <w:r>
              <w:rPr>
                <w:rFonts w:eastAsia="Times New Roman"/>
                <w:sz w:val="16"/>
              </w:rPr>
              <w:t>Año de ocurrencia del episodio</w:t>
            </w:r>
          </w:p>
        </w:tc>
        <w:tc>
          <w:tcPr>
            <w:tcW w:w="2634" w:type="dxa"/>
            <w:tcMar>
              <w:top w:w="113" w:type="dxa"/>
              <w:left w:w="113" w:type="dxa"/>
              <w:bottom w:w="113" w:type="dxa"/>
              <w:right w:w="113" w:type="dxa"/>
            </w:tcMar>
            <w:hideMark/>
          </w:tcPr>
          <w:p w:rsidR="00AA491C" w:rsidRPr="00AA491C" w:rsidRDefault="00AA491C" w:rsidP="00283F03">
            <w:pPr>
              <w:jc w:val="center"/>
              <w:rPr>
                <w:rFonts w:eastAsia="Times New Roman"/>
                <w:sz w:val="16"/>
                <w:lang w:val="en-US"/>
              </w:rPr>
            </w:pPr>
            <w:r w:rsidRPr="00AA491C">
              <w:rPr>
                <w:rFonts w:eastAsia="Times New Roman"/>
                <w:sz w:val="16"/>
                <w:lang w:val="en-US"/>
              </w:rPr>
              <w:t>Min. :1543 / 1st Qu.:1944 / Median :1975 / Mean :1966 / 3rd Qu.:2003 / Max. :2016</w:t>
            </w:r>
          </w:p>
        </w:tc>
      </w:tr>
      <w:tr w:rsidR="00AA491C" w:rsidRPr="00AA491C" w:rsidTr="00AA491C">
        <w:tc>
          <w:tcPr>
            <w:tcW w:w="1106" w:type="dxa"/>
            <w:tcMar>
              <w:top w:w="113" w:type="dxa"/>
              <w:left w:w="113" w:type="dxa"/>
              <w:bottom w:w="113" w:type="dxa"/>
              <w:right w:w="113" w:type="dxa"/>
            </w:tcMar>
            <w:hideMark/>
          </w:tcPr>
          <w:p w:rsidR="00AA491C" w:rsidRPr="00AA491C" w:rsidRDefault="00AA491C" w:rsidP="00283F03">
            <w:pPr>
              <w:jc w:val="center"/>
              <w:rPr>
                <w:rFonts w:eastAsia="Times New Roman"/>
                <w:sz w:val="16"/>
              </w:rPr>
            </w:pPr>
            <w:proofErr w:type="spellStart"/>
            <w:r w:rsidRPr="00AA491C">
              <w:rPr>
                <w:rFonts w:eastAsia="Times New Roman"/>
                <w:sz w:val="16"/>
              </w:rPr>
              <w:t>Type</w:t>
            </w:r>
            <w:proofErr w:type="spellEnd"/>
          </w:p>
        </w:tc>
        <w:tc>
          <w:tcPr>
            <w:tcW w:w="1134" w:type="dxa"/>
            <w:tcMar>
              <w:top w:w="113" w:type="dxa"/>
              <w:left w:w="113" w:type="dxa"/>
              <w:bottom w:w="113" w:type="dxa"/>
              <w:right w:w="113" w:type="dxa"/>
            </w:tcMar>
            <w:hideMark/>
          </w:tcPr>
          <w:p w:rsidR="00AA491C" w:rsidRPr="00AA491C" w:rsidRDefault="00AA491C" w:rsidP="00283F03">
            <w:pPr>
              <w:jc w:val="center"/>
              <w:rPr>
                <w:rFonts w:eastAsia="Times New Roman"/>
                <w:sz w:val="16"/>
              </w:rPr>
            </w:pPr>
            <w:r w:rsidRPr="00AA491C">
              <w:rPr>
                <w:rFonts w:eastAsia="Times New Roman"/>
                <w:sz w:val="16"/>
              </w:rPr>
              <w:t>Nominal</w:t>
            </w:r>
          </w:p>
        </w:tc>
        <w:tc>
          <w:tcPr>
            <w:tcW w:w="2268" w:type="dxa"/>
            <w:tcMar>
              <w:top w:w="113" w:type="dxa"/>
              <w:left w:w="113" w:type="dxa"/>
              <w:bottom w:w="113" w:type="dxa"/>
              <w:right w:w="113" w:type="dxa"/>
            </w:tcMar>
            <w:hideMark/>
          </w:tcPr>
          <w:p w:rsidR="00AA491C" w:rsidRPr="00AA491C" w:rsidRDefault="00AA491C" w:rsidP="00AA491C">
            <w:pPr>
              <w:jc w:val="left"/>
              <w:rPr>
                <w:rFonts w:eastAsia="Times New Roman"/>
                <w:sz w:val="16"/>
              </w:rPr>
            </w:pPr>
            <w:r>
              <w:rPr>
                <w:rFonts w:eastAsia="Times New Roman"/>
                <w:sz w:val="16"/>
              </w:rPr>
              <w:t>Motivo del ataque</w:t>
            </w:r>
          </w:p>
        </w:tc>
        <w:tc>
          <w:tcPr>
            <w:tcW w:w="2634" w:type="dxa"/>
            <w:tcMar>
              <w:top w:w="113" w:type="dxa"/>
              <w:left w:w="113" w:type="dxa"/>
              <w:bottom w:w="113" w:type="dxa"/>
              <w:right w:w="113" w:type="dxa"/>
            </w:tcMar>
            <w:hideMark/>
          </w:tcPr>
          <w:p w:rsidR="00AA491C" w:rsidRPr="00AA491C" w:rsidRDefault="00AA491C" w:rsidP="00283F03">
            <w:pPr>
              <w:jc w:val="center"/>
              <w:rPr>
                <w:rFonts w:eastAsia="Times New Roman"/>
                <w:sz w:val="16"/>
                <w:lang w:val="en-US"/>
              </w:rPr>
            </w:pPr>
            <w:r w:rsidRPr="00AA491C">
              <w:rPr>
                <w:rFonts w:eastAsia="Times New Roman"/>
                <w:sz w:val="16"/>
                <w:lang w:val="en-US"/>
              </w:rPr>
              <w:t xml:space="preserve">Boating: 302 / </w:t>
            </w:r>
            <w:r>
              <w:rPr>
                <w:rFonts w:eastAsia="Times New Roman"/>
                <w:sz w:val="16"/>
                <w:lang w:val="en-US"/>
              </w:rPr>
              <w:t>Unknown</w:t>
            </w:r>
            <w:r w:rsidRPr="00AA491C">
              <w:rPr>
                <w:rFonts w:eastAsia="Times New Roman"/>
                <w:sz w:val="16"/>
                <w:lang w:val="en-US"/>
              </w:rPr>
              <w:t>: 512 / Provoked: 539 / Sea Disaster: 214 / Unprovoked :4205</w:t>
            </w:r>
          </w:p>
        </w:tc>
      </w:tr>
      <w:tr w:rsidR="00AA491C" w:rsidRPr="00AA491C" w:rsidTr="00AA491C">
        <w:tc>
          <w:tcPr>
            <w:tcW w:w="1106" w:type="dxa"/>
            <w:tcMar>
              <w:top w:w="113" w:type="dxa"/>
              <w:left w:w="113" w:type="dxa"/>
              <w:bottom w:w="113" w:type="dxa"/>
              <w:right w:w="113" w:type="dxa"/>
            </w:tcMar>
            <w:hideMark/>
          </w:tcPr>
          <w:p w:rsidR="00AA491C" w:rsidRPr="00AA491C" w:rsidRDefault="00AA491C" w:rsidP="00283F03">
            <w:pPr>
              <w:jc w:val="center"/>
              <w:rPr>
                <w:rFonts w:eastAsia="Times New Roman"/>
                <w:sz w:val="16"/>
              </w:rPr>
            </w:pPr>
            <w:r w:rsidRPr="00AA491C">
              <w:rPr>
                <w:rFonts w:eastAsia="Times New Roman"/>
                <w:sz w:val="16"/>
              </w:rPr>
              <w:t>sexo</w:t>
            </w:r>
          </w:p>
        </w:tc>
        <w:tc>
          <w:tcPr>
            <w:tcW w:w="1134" w:type="dxa"/>
            <w:tcMar>
              <w:top w:w="113" w:type="dxa"/>
              <w:left w:w="113" w:type="dxa"/>
              <w:bottom w:w="113" w:type="dxa"/>
              <w:right w:w="113" w:type="dxa"/>
            </w:tcMar>
            <w:hideMark/>
          </w:tcPr>
          <w:p w:rsidR="00AA491C" w:rsidRPr="00AA491C" w:rsidRDefault="00AA491C" w:rsidP="00283F03">
            <w:pPr>
              <w:jc w:val="center"/>
              <w:rPr>
                <w:rFonts w:eastAsia="Times New Roman"/>
                <w:sz w:val="16"/>
              </w:rPr>
            </w:pPr>
            <w:r w:rsidRPr="00AA491C">
              <w:rPr>
                <w:rFonts w:eastAsia="Times New Roman"/>
                <w:sz w:val="16"/>
              </w:rPr>
              <w:t>Nominal</w:t>
            </w:r>
          </w:p>
        </w:tc>
        <w:tc>
          <w:tcPr>
            <w:tcW w:w="2268" w:type="dxa"/>
            <w:tcMar>
              <w:top w:w="113" w:type="dxa"/>
              <w:left w:w="113" w:type="dxa"/>
              <w:bottom w:w="113" w:type="dxa"/>
              <w:right w:w="113" w:type="dxa"/>
            </w:tcMar>
            <w:hideMark/>
          </w:tcPr>
          <w:p w:rsidR="00AA491C" w:rsidRPr="00AA491C" w:rsidRDefault="00AA491C" w:rsidP="00AA491C">
            <w:pPr>
              <w:jc w:val="left"/>
              <w:rPr>
                <w:rFonts w:eastAsia="Times New Roman"/>
                <w:sz w:val="16"/>
              </w:rPr>
            </w:pPr>
            <w:r>
              <w:rPr>
                <w:rFonts w:eastAsia="Times New Roman"/>
                <w:sz w:val="16"/>
              </w:rPr>
              <w:t>Género de la víctima</w:t>
            </w:r>
          </w:p>
        </w:tc>
        <w:tc>
          <w:tcPr>
            <w:tcW w:w="2634" w:type="dxa"/>
            <w:tcMar>
              <w:top w:w="113" w:type="dxa"/>
              <w:left w:w="113" w:type="dxa"/>
              <w:bottom w:w="113" w:type="dxa"/>
              <w:right w:w="113" w:type="dxa"/>
            </w:tcMar>
            <w:hideMark/>
          </w:tcPr>
          <w:p w:rsidR="00AA491C" w:rsidRPr="00AA491C" w:rsidRDefault="00AA491C" w:rsidP="00283F03">
            <w:pPr>
              <w:jc w:val="center"/>
              <w:rPr>
                <w:rFonts w:eastAsia="Times New Roman"/>
                <w:sz w:val="16"/>
              </w:rPr>
            </w:pPr>
            <w:r w:rsidRPr="00AA491C">
              <w:rPr>
                <w:rFonts w:eastAsia="Times New Roman"/>
                <w:sz w:val="16"/>
              </w:rPr>
              <w:t>F: 557 / M :4660 / unknown: 555</w:t>
            </w:r>
          </w:p>
        </w:tc>
      </w:tr>
      <w:tr w:rsidR="00AA491C" w:rsidRPr="00AA491C" w:rsidTr="00AA491C">
        <w:tc>
          <w:tcPr>
            <w:tcW w:w="1106" w:type="dxa"/>
            <w:tcMar>
              <w:top w:w="113" w:type="dxa"/>
              <w:left w:w="113" w:type="dxa"/>
              <w:bottom w:w="113" w:type="dxa"/>
              <w:right w:w="113" w:type="dxa"/>
            </w:tcMar>
            <w:hideMark/>
          </w:tcPr>
          <w:p w:rsidR="00AA491C" w:rsidRPr="00AA491C" w:rsidRDefault="00AA491C" w:rsidP="00283F03">
            <w:pPr>
              <w:jc w:val="center"/>
              <w:rPr>
                <w:rFonts w:eastAsia="Times New Roman"/>
                <w:sz w:val="16"/>
              </w:rPr>
            </w:pPr>
            <w:proofErr w:type="spellStart"/>
            <w:r w:rsidRPr="00AA491C">
              <w:rPr>
                <w:rFonts w:eastAsia="Times New Roman"/>
                <w:sz w:val="16"/>
              </w:rPr>
              <w:t>region</w:t>
            </w:r>
            <w:proofErr w:type="spellEnd"/>
          </w:p>
        </w:tc>
        <w:tc>
          <w:tcPr>
            <w:tcW w:w="1134" w:type="dxa"/>
            <w:tcMar>
              <w:top w:w="113" w:type="dxa"/>
              <w:left w:w="113" w:type="dxa"/>
              <w:bottom w:w="113" w:type="dxa"/>
              <w:right w:w="113" w:type="dxa"/>
            </w:tcMar>
            <w:hideMark/>
          </w:tcPr>
          <w:p w:rsidR="00AA491C" w:rsidRPr="00AA491C" w:rsidRDefault="00AA491C" w:rsidP="00283F03">
            <w:pPr>
              <w:jc w:val="center"/>
              <w:rPr>
                <w:rFonts w:eastAsia="Times New Roman"/>
                <w:sz w:val="16"/>
              </w:rPr>
            </w:pPr>
            <w:r w:rsidRPr="00AA491C">
              <w:rPr>
                <w:rFonts w:eastAsia="Times New Roman"/>
                <w:sz w:val="16"/>
              </w:rPr>
              <w:t>Nominal</w:t>
            </w:r>
          </w:p>
        </w:tc>
        <w:tc>
          <w:tcPr>
            <w:tcW w:w="2268" w:type="dxa"/>
            <w:tcMar>
              <w:top w:w="113" w:type="dxa"/>
              <w:left w:w="113" w:type="dxa"/>
              <w:bottom w:w="113" w:type="dxa"/>
              <w:right w:w="113" w:type="dxa"/>
            </w:tcMar>
            <w:hideMark/>
          </w:tcPr>
          <w:p w:rsidR="00AA491C" w:rsidRPr="00AA491C" w:rsidRDefault="00AA491C" w:rsidP="00AA491C">
            <w:pPr>
              <w:jc w:val="left"/>
              <w:rPr>
                <w:rFonts w:eastAsia="Times New Roman"/>
                <w:sz w:val="16"/>
              </w:rPr>
            </w:pPr>
            <w:r>
              <w:rPr>
                <w:rFonts w:eastAsia="Times New Roman"/>
                <w:sz w:val="16"/>
              </w:rPr>
              <w:t>Región de ocurrencia del ataque</w:t>
            </w:r>
          </w:p>
        </w:tc>
        <w:tc>
          <w:tcPr>
            <w:tcW w:w="2634" w:type="dxa"/>
            <w:tcMar>
              <w:top w:w="113" w:type="dxa"/>
              <w:left w:w="113" w:type="dxa"/>
              <w:bottom w:w="113" w:type="dxa"/>
              <w:right w:w="113" w:type="dxa"/>
            </w:tcMar>
            <w:hideMark/>
          </w:tcPr>
          <w:p w:rsidR="00AA491C" w:rsidRPr="00AA491C" w:rsidRDefault="00AA491C" w:rsidP="00283F03">
            <w:pPr>
              <w:jc w:val="center"/>
              <w:rPr>
                <w:rFonts w:eastAsia="Times New Roman"/>
                <w:sz w:val="16"/>
              </w:rPr>
            </w:pPr>
            <w:r w:rsidRPr="00AA491C">
              <w:rPr>
                <w:rFonts w:eastAsia="Times New Roman"/>
                <w:sz w:val="16"/>
              </w:rPr>
              <w:t>AUSTRALIA :1246 / SOUTH AFRICA: 555 / unknown: 37 / USA :2046</w:t>
            </w:r>
            <w:r w:rsidR="00D6295D">
              <w:rPr>
                <w:rFonts w:eastAsia="Times New Roman"/>
                <w:sz w:val="16"/>
              </w:rPr>
              <w:t xml:space="preserve"> / </w:t>
            </w:r>
            <w:r w:rsidR="00D6295D" w:rsidRPr="00AA491C">
              <w:rPr>
                <w:rFonts w:eastAsia="Times New Roman"/>
                <w:sz w:val="16"/>
              </w:rPr>
              <w:t>(otros</w:t>
            </w:r>
            <w:r w:rsidR="00D6295D">
              <w:rPr>
                <w:rFonts w:eastAsia="Times New Roman"/>
                <w:sz w:val="16"/>
              </w:rPr>
              <w:t>)</w:t>
            </w:r>
            <w:r w:rsidR="00D6295D" w:rsidRPr="00AA491C">
              <w:rPr>
                <w:rFonts w:eastAsia="Times New Roman"/>
                <w:sz w:val="16"/>
              </w:rPr>
              <w:t>:1888</w:t>
            </w:r>
          </w:p>
        </w:tc>
      </w:tr>
      <w:tr w:rsidR="00AA491C" w:rsidRPr="00AA491C" w:rsidTr="00AA491C">
        <w:tc>
          <w:tcPr>
            <w:tcW w:w="1106" w:type="dxa"/>
            <w:tcMar>
              <w:top w:w="113" w:type="dxa"/>
              <w:left w:w="113" w:type="dxa"/>
              <w:bottom w:w="113" w:type="dxa"/>
              <w:right w:w="113" w:type="dxa"/>
            </w:tcMar>
            <w:hideMark/>
          </w:tcPr>
          <w:p w:rsidR="00AA491C" w:rsidRPr="00AA491C" w:rsidRDefault="00AA491C" w:rsidP="00283F03">
            <w:pPr>
              <w:jc w:val="center"/>
              <w:rPr>
                <w:rFonts w:eastAsia="Times New Roman"/>
                <w:sz w:val="16"/>
              </w:rPr>
            </w:pPr>
            <w:r w:rsidRPr="00AA491C">
              <w:rPr>
                <w:rFonts w:eastAsia="Times New Roman"/>
                <w:sz w:val="16"/>
              </w:rPr>
              <w:t>fatal</w:t>
            </w:r>
          </w:p>
        </w:tc>
        <w:tc>
          <w:tcPr>
            <w:tcW w:w="1134" w:type="dxa"/>
            <w:tcMar>
              <w:top w:w="113" w:type="dxa"/>
              <w:left w:w="113" w:type="dxa"/>
              <w:bottom w:w="113" w:type="dxa"/>
              <w:right w:w="113" w:type="dxa"/>
            </w:tcMar>
            <w:hideMark/>
          </w:tcPr>
          <w:p w:rsidR="00AA491C" w:rsidRPr="00AA491C" w:rsidRDefault="00AA491C" w:rsidP="00283F03">
            <w:pPr>
              <w:jc w:val="center"/>
              <w:rPr>
                <w:rFonts w:eastAsia="Times New Roman"/>
                <w:sz w:val="16"/>
              </w:rPr>
            </w:pPr>
            <w:r w:rsidRPr="00AA491C">
              <w:rPr>
                <w:rFonts w:eastAsia="Times New Roman"/>
                <w:sz w:val="16"/>
              </w:rPr>
              <w:t>Nominal</w:t>
            </w:r>
          </w:p>
        </w:tc>
        <w:tc>
          <w:tcPr>
            <w:tcW w:w="2268" w:type="dxa"/>
            <w:tcMar>
              <w:top w:w="113" w:type="dxa"/>
              <w:left w:w="113" w:type="dxa"/>
              <w:bottom w:w="113" w:type="dxa"/>
              <w:right w:w="113" w:type="dxa"/>
            </w:tcMar>
            <w:hideMark/>
          </w:tcPr>
          <w:p w:rsidR="00AA491C" w:rsidRPr="00AA491C" w:rsidRDefault="00AA491C" w:rsidP="00AA491C">
            <w:pPr>
              <w:jc w:val="left"/>
              <w:rPr>
                <w:rFonts w:eastAsia="Times New Roman"/>
                <w:sz w:val="16"/>
              </w:rPr>
            </w:pPr>
            <w:r>
              <w:rPr>
                <w:rFonts w:eastAsia="Times New Roman"/>
                <w:sz w:val="16"/>
              </w:rPr>
              <w:t>El ataque fue fatal para la víctima</w:t>
            </w:r>
          </w:p>
        </w:tc>
        <w:tc>
          <w:tcPr>
            <w:tcW w:w="2634" w:type="dxa"/>
            <w:tcMar>
              <w:top w:w="113" w:type="dxa"/>
              <w:left w:w="113" w:type="dxa"/>
              <w:bottom w:w="113" w:type="dxa"/>
              <w:right w:w="113" w:type="dxa"/>
            </w:tcMar>
            <w:hideMark/>
          </w:tcPr>
          <w:p w:rsidR="00AA491C" w:rsidRPr="00AA491C" w:rsidRDefault="00AA491C" w:rsidP="00283F03">
            <w:pPr>
              <w:jc w:val="center"/>
              <w:rPr>
                <w:rFonts w:eastAsia="Times New Roman"/>
                <w:sz w:val="16"/>
              </w:rPr>
            </w:pPr>
            <w:r w:rsidRPr="00AA491C">
              <w:rPr>
                <w:rFonts w:eastAsia="Times New Roman"/>
                <w:sz w:val="16"/>
              </w:rPr>
              <w:t>no:</w:t>
            </w:r>
            <w:r>
              <w:rPr>
                <w:rFonts w:eastAsia="Times New Roman"/>
                <w:sz w:val="16"/>
              </w:rPr>
              <w:t xml:space="preserve"> </w:t>
            </w:r>
            <w:r w:rsidRPr="00AA491C">
              <w:rPr>
                <w:rFonts w:eastAsia="Times New Roman"/>
                <w:sz w:val="16"/>
              </w:rPr>
              <w:t>4174 / unknown: 118 / yes:1480</w:t>
            </w:r>
          </w:p>
        </w:tc>
      </w:tr>
      <w:tr w:rsidR="00AA491C" w:rsidRPr="00AA491C" w:rsidTr="00AA491C">
        <w:tc>
          <w:tcPr>
            <w:tcW w:w="1106" w:type="dxa"/>
            <w:tcMar>
              <w:top w:w="113" w:type="dxa"/>
              <w:left w:w="113" w:type="dxa"/>
              <w:bottom w:w="113" w:type="dxa"/>
              <w:right w:w="113" w:type="dxa"/>
            </w:tcMar>
            <w:hideMark/>
          </w:tcPr>
          <w:p w:rsidR="00AA491C" w:rsidRPr="00AA491C" w:rsidRDefault="00AA491C" w:rsidP="00283F03">
            <w:pPr>
              <w:jc w:val="center"/>
              <w:rPr>
                <w:rFonts w:eastAsia="Times New Roman"/>
                <w:sz w:val="16"/>
              </w:rPr>
            </w:pPr>
            <w:r w:rsidRPr="00AA491C">
              <w:rPr>
                <w:rFonts w:eastAsia="Times New Roman"/>
                <w:sz w:val="16"/>
              </w:rPr>
              <w:t>horario</w:t>
            </w:r>
          </w:p>
        </w:tc>
        <w:tc>
          <w:tcPr>
            <w:tcW w:w="1134" w:type="dxa"/>
            <w:tcMar>
              <w:top w:w="113" w:type="dxa"/>
              <w:left w:w="113" w:type="dxa"/>
              <w:bottom w:w="113" w:type="dxa"/>
              <w:right w:w="113" w:type="dxa"/>
            </w:tcMar>
            <w:hideMark/>
          </w:tcPr>
          <w:p w:rsidR="00AA491C" w:rsidRPr="00AA491C" w:rsidRDefault="00AA491C" w:rsidP="00283F03">
            <w:pPr>
              <w:jc w:val="center"/>
              <w:rPr>
                <w:rFonts w:eastAsia="Times New Roman"/>
                <w:sz w:val="16"/>
              </w:rPr>
            </w:pPr>
            <w:r w:rsidRPr="00AA491C">
              <w:rPr>
                <w:rFonts w:eastAsia="Times New Roman"/>
                <w:sz w:val="16"/>
              </w:rPr>
              <w:t>Nominal</w:t>
            </w:r>
          </w:p>
        </w:tc>
        <w:tc>
          <w:tcPr>
            <w:tcW w:w="2268" w:type="dxa"/>
            <w:tcMar>
              <w:top w:w="113" w:type="dxa"/>
              <w:left w:w="113" w:type="dxa"/>
              <w:bottom w:w="113" w:type="dxa"/>
              <w:right w:w="113" w:type="dxa"/>
            </w:tcMar>
            <w:hideMark/>
          </w:tcPr>
          <w:p w:rsidR="00AA491C" w:rsidRPr="00AA491C" w:rsidRDefault="00AA491C" w:rsidP="00AA491C">
            <w:pPr>
              <w:jc w:val="left"/>
              <w:rPr>
                <w:rFonts w:eastAsia="Times New Roman"/>
                <w:sz w:val="16"/>
              </w:rPr>
            </w:pPr>
            <w:r>
              <w:rPr>
                <w:rFonts w:eastAsia="Times New Roman"/>
                <w:sz w:val="16"/>
              </w:rPr>
              <w:t>Horario del ataque</w:t>
            </w:r>
          </w:p>
        </w:tc>
        <w:tc>
          <w:tcPr>
            <w:tcW w:w="2634" w:type="dxa"/>
            <w:tcMar>
              <w:top w:w="113" w:type="dxa"/>
              <w:left w:w="113" w:type="dxa"/>
              <w:bottom w:w="113" w:type="dxa"/>
              <w:right w:w="113" w:type="dxa"/>
            </w:tcMar>
            <w:hideMark/>
          </w:tcPr>
          <w:p w:rsidR="00AA491C" w:rsidRPr="00AA491C" w:rsidRDefault="00AA491C" w:rsidP="00283F03">
            <w:pPr>
              <w:jc w:val="center"/>
              <w:rPr>
                <w:rFonts w:eastAsia="Times New Roman"/>
                <w:sz w:val="16"/>
              </w:rPr>
            </w:pPr>
            <w:r w:rsidRPr="00AA491C">
              <w:rPr>
                <w:rFonts w:eastAsia="Times New Roman"/>
                <w:sz w:val="16"/>
              </w:rPr>
              <w:t>AM: 876 / PM :1758 / unknown:3138</w:t>
            </w:r>
          </w:p>
        </w:tc>
      </w:tr>
      <w:tr w:rsidR="00AA491C" w:rsidRPr="00AA491C" w:rsidTr="00AA491C">
        <w:tc>
          <w:tcPr>
            <w:tcW w:w="1106" w:type="dxa"/>
            <w:tcBorders>
              <w:bottom w:val="double" w:sz="6" w:space="0" w:color="auto"/>
            </w:tcBorders>
            <w:tcMar>
              <w:top w:w="113" w:type="dxa"/>
              <w:left w:w="113" w:type="dxa"/>
              <w:bottom w:w="113" w:type="dxa"/>
              <w:right w:w="113" w:type="dxa"/>
            </w:tcMar>
            <w:hideMark/>
          </w:tcPr>
          <w:p w:rsidR="00AA491C" w:rsidRPr="00AA491C" w:rsidRDefault="00AA491C" w:rsidP="00AA491C">
            <w:pPr>
              <w:jc w:val="center"/>
              <w:rPr>
                <w:rFonts w:eastAsia="Times New Roman"/>
                <w:sz w:val="16"/>
              </w:rPr>
            </w:pPr>
            <w:r w:rsidRPr="00AA491C">
              <w:rPr>
                <w:rFonts w:eastAsia="Times New Roman"/>
                <w:sz w:val="16"/>
              </w:rPr>
              <w:t>edad</w:t>
            </w:r>
          </w:p>
        </w:tc>
        <w:tc>
          <w:tcPr>
            <w:tcW w:w="1134" w:type="dxa"/>
            <w:tcBorders>
              <w:bottom w:val="double" w:sz="6" w:space="0" w:color="auto"/>
            </w:tcBorders>
            <w:tcMar>
              <w:top w:w="113" w:type="dxa"/>
              <w:left w:w="113" w:type="dxa"/>
              <w:bottom w:w="113" w:type="dxa"/>
              <w:right w:w="113" w:type="dxa"/>
            </w:tcMar>
            <w:hideMark/>
          </w:tcPr>
          <w:p w:rsidR="00AA491C" w:rsidRPr="00AA491C" w:rsidRDefault="00AA491C" w:rsidP="00AA491C">
            <w:pPr>
              <w:jc w:val="center"/>
              <w:rPr>
                <w:rFonts w:eastAsia="Times New Roman"/>
                <w:sz w:val="16"/>
              </w:rPr>
            </w:pPr>
            <w:r w:rsidRPr="00AA491C">
              <w:rPr>
                <w:rFonts w:eastAsia="Times New Roman"/>
                <w:sz w:val="16"/>
              </w:rPr>
              <w:t>Nominal</w:t>
            </w:r>
          </w:p>
        </w:tc>
        <w:tc>
          <w:tcPr>
            <w:tcW w:w="2268" w:type="dxa"/>
            <w:tcBorders>
              <w:bottom w:val="double" w:sz="6" w:space="0" w:color="auto"/>
            </w:tcBorders>
            <w:tcMar>
              <w:top w:w="113" w:type="dxa"/>
              <w:left w:w="113" w:type="dxa"/>
              <w:bottom w:w="113" w:type="dxa"/>
              <w:right w:w="113" w:type="dxa"/>
            </w:tcMar>
            <w:hideMark/>
          </w:tcPr>
          <w:p w:rsidR="00AA491C" w:rsidRPr="00AA491C" w:rsidRDefault="00AA491C" w:rsidP="00AA491C">
            <w:pPr>
              <w:jc w:val="left"/>
              <w:rPr>
                <w:rFonts w:eastAsia="Times New Roman"/>
                <w:sz w:val="16"/>
              </w:rPr>
            </w:pPr>
            <w:r>
              <w:rPr>
                <w:rFonts w:eastAsia="Times New Roman"/>
                <w:sz w:val="16"/>
              </w:rPr>
              <w:t>Edad de la víctima</w:t>
            </w:r>
          </w:p>
        </w:tc>
        <w:tc>
          <w:tcPr>
            <w:tcW w:w="2634" w:type="dxa"/>
            <w:tcBorders>
              <w:bottom w:val="double" w:sz="6" w:space="0" w:color="auto"/>
            </w:tcBorders>
            <w:tcMar>
              <w:top w:w="113" w:type="dxa"/>
              <w:left w:w="113" w:type="dxa"/>
              <w:bottom w:w="113" w:type="dxa"/>
              <w:right w:w="113" w:type="dxa"/>
            </w:tcMar>
            <w:hideMark/>
          </w:tcPr>
          <w:p w:rsidR="00AA491C" w:rsidRPr="00AA491C" w:rsidRDefault="00AA491C" w:rsidP="00AA491C">
            <w:pPr>
              <w:jc w:val="center"/>
              <w:rPr>
                <w:rFonts w:eastAsia="Times New Roman"/>
                <w:sz w:val="16"/>
              </w:rPr>
            </w:pPr>
            <w:proofErr w:type="spellStart"/>
            <w:r w:rsidRPr="00AA491C">
              <w:rPr>
                <w:rFonts w:eastAsia="Times New Roman"/>
                <w:sz w:val="16"/>
              </w:rPr>
              <w:t>Adult</w:t>
            </w:r>
            <w:proofErr w:type="spellEnd"/>
            <w:r w:rsidRPr="00AA491C">
              <w:rPr>
                <w:rFonts w:eastAsia="Times New Roman"/>
                <w:sz w:val="16"/>
              </w:rPr>
              <w:t xml:space="preserve"> :2386 / Old: 228 / unknown:2553 / Young: 605</w:t>
            </w:r>
          </w:p>
        </w:tc>
      </w:tr>
    </w:tbl>
    <w:p w:rsidR="00AA491C" w:rsidRPr="00AA491C" w:rsidRDefault="00AA491C" w:rsidP="00AA491C">
      <w:pPr>
        <w:spacing w:line="288" w:lineRule="auto"/>
        <w:jc w:val="center"/>
        <w:rPr>
          <w:b/>
        </w:rPr>
      </w:pPr>
    </w:p>
    <w:p w:rsidR="003C5B36" w:rsidRDefault="00283F03">
      <w:pPr>
        <w:spacing w:after="120" w:line="288" w:lineRule="auto"/>
      </w:pPr>
      <w:r>
        <w:lastRenderedPageBreak/>
        <w:t>En la figura 1 se analiza la distribución de las variables categóricas</w:t>
      </w:r>
      <w:r w:rsidR="00D6295D">
        <w:t xml:space="preserve">, equivalente a la información indicada en la columna </w:t>
      </w:r>
      <w:r w:rsidR="00D6295D">
        <w:rPr>
          <w:i/>
        </w:rPr>
        <w:t>Estadística</w:t>
      </w:r>
      <w:r w:rsidR="00D6295D">
        <w:t xml:space="preserve"> del cuadro 1</w:t>
      </w:r>
      <w:r>
        <w:t>.</w:t>
      </w:r>
    </w:p>
    <w:p w:rsidR="003C5B36" w:rsidRDefault="00283F03">
      <w:pPr>
        <w:spacing w:line="288" w:lineRule="auto"/>
        <w:jc w:val="center"/>
      </w:pPr>
      <w:r>
        <w:rPr>
          <w:b/>
        </w:rPr>
        <w:t>Figura 1. Distribución de frecuencias de las variables nominales</w:t>
      </w:r>
      <w:r>
        <w:rPr>
          <w:b/>
          <w:noProof/>
        </w:rPr>
        <w:drawing>
          <wp:inline distT="114300" distB="114300" distL="114300" distR="114300">
            <wp:extent cx="4394200" cy="34290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5"/>
                    <a:srcRect l="164" r="164"/>
                    <a:stretch>
                      <a:fillRect/>
                    </a:stretch>
                  </pic:blipFill>
                  <pic:spPr>
                    <a:xfrm>
                      <a:off x="0" y="0"/>
                      <a:ext cx="4394200" cy="3429000"/>
                    </a:xfrm>
                    <a:prstGeom prst="rect">
                      <a:avLst/>
                    </a:prstGeom>
                    <a:ln/>
                  </pic:spPr>
                </pic:pic>
              </a:graphicData>
            </a:graphic>
          </wp:inline>
        </w:drawing>
      </w:r>
    </w:p>
    <w:p w:rsidR="003C5B36" w:rsidRDefault="00283F03">
      <w:pPr>
        <w:spacing w:after="120" w:line="288" w:lineRule="auto"/>
      </w:pPr>
      <w:r>
        <w:t xml:space="preserve">En las distribuciones de las variables edad y horario se destaca un marcado predominio de los valores desconocidos (“unknown”), llegando a representar más de 2.000 y 3.000 casos, respectivamente. En cambio, en fatal, </w:t>
      </w:r>
      <w:proofErr w:type="spellStart"/>
      <w:r>
        <w:t>region</w:t>
      </w:r>
      <w:proofErr w:type="spellEnd"/>
      <w:r>
        <w:t xml:space="preserve">, sexo y </w:t>
      </w:r>
      <w:proofErr w:type="spellStart"/>
      <w:r>
        <w:t>type</w:t>
      </w:r>
      <w:proofErr w:type="spellEnd"/>
      <w:r>
        <w:t xml:space="preserve"> la relevancia es mucho menor. Omitiendo estos valores, se puede observar que la mayor parte de los casos ocurrieron en Estados Unidos, el rango etario mayoritario es “adulto”, la mayor parte de los ataques no fueron fatales, y las víctimas son en su gran mayoría hombres. </w:t>
      </w:r>
    </w:p>
    <w:p w:rsidR="003C5B36" w:rsidRDefault="00283F03">
      <w:pPr>
        <w:spacing w:line="288" w:lineRule="auto"/>
        <w:jc w:val="center"/>
        <w:rPr>
          <w:b/>
        </w:rPr>
      </w:pPr>
      <w:r>
        <w:rPr>
          <w:b/>
        </w:rPr>
        <w:lastRenderedPageBreak/>
        <w:t>Figura 2. Distribución de frecuencias -marginal y condicionada por sexo- de la variable Año (intervalos de 15 años)</w:t>
      </w:r>
      <w:r>
        <w:rPr>
          <w:b/>
          <w:noProof/>
        </w:rPr>
        <w:drawing>
          <wp:inline distT="114300" distB="114300" distL="114300" distR="114300">
            <wp:extent cx="4394200" cy="26416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l="96" r="96"/>
                    <a:stretch>
                      <a:fillRect/>
                    </a:stretch>
                  </pic:blipFill>
                  <pic:spPr>
                    <a:xfrm>
                      <a:off x="0" y="0"/>
                      <a:ext cx="4394200" cy="2641600"/>
                    </a:xfrm>
                    <a:prstGeom prst="rect">
                      <a:avLst/>
                    </a:prstGeom>
                    <a:ln/>
                  </pic:spPr>
                </pic:pic>
              </a:graphicData>
            </a:graphic>
          </wp:inline>
        </w:drawing>
      </w:r>
    </w:p>
    <w:p w:rsidR="003C5B36" w:rsidRDefault="00283F03">
      <w:pPr>
        <w:spacing w:after="120" w:line="288" w:lineRule="auto"/>
      </w:pPr>
      <w:r>
        <w:t xml:space="preserve">En la distribución de frecuencias de la variable año observada en el extremo inferior de la figura 2 se evidencia que el número de casos es creciente en el tiempo, registrando un pico local de ataques en el período 1959-1974 por episodios ocurridos en los años 1959 y 1960. En los años previos a 1850 la cantidad de casos por año es poco significativa. La distribución de los años condicionada por sexo muestra que la tendencia creciente se verifica para ambos sexos -- masculino y femenino -- a la vez que la cantidad de casos donde el género es desconocido se mantiene constante desde mediados del siglo XX, a excepción del pico registrado en 1959-1974.  </w:t>
      </w:r>
    </w:p>
    <w:p w:rsidR="003C5B36" w:rsidRDefault="00283F03">
      <w:pPr>
        <w:spacing w:line="288" w:lineRule="auto"/>
        <w:jc w:val="center"/>
        <w:rPr>
          <w:b/>
        </w:rPr>
      </w:pPr>
      <w:r>
        <w:rPr>
          <w:b/>
        </w:rPr>
        <w:t>Figura 3. Casos fatales desde 1850 (como % de los casos totales)</w:t>
      </w:r>
    </w:p>
    <w:p w:rsidR="003C5B36" w:rsidRDefault="00283F03">
      <w:pPr>
        <w:spacing w:line="288" w:lineRule="auto"/>
        <w:jc w:val="center"/>
        <w:rPr>
          <w:b/>
        </w:rPr>
      </w:pPr>
      <w:r>
        <w:rPr>
          <w:b/>
        </w:rPr>
        <w:t>(intervalos de 5 años)</w:t>
      </w:r>
      <w:r>
        <w:rPr>
          <w:b/>
          <w:noProof/>
        </w:rPr>
        <w:drawing>
          <wp:inline distT="114300" distB="114300" distL="114300" distR="114300">
            <wp:extent cx="4394200" cy="219710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a:stretch>
                      <a:fillRect/>
                    </a:stretch>
                  </pic:blipFill>
                  <pic:spPr>
                    <a:xfrm>
                      <a:off x="0" y="0"/>
                      <a:ext cx="4394200" cy="2197100"/>
                    </a:xfrm>
                    <a:prstGeom prst="rect">
                      <a:avLst/>
                    </a:prstGeom>
                    <a:ln/>
                  </pic:spPr>
                </pic:pic>
              </a:graphicData>
            </a:graphic>
          </wp:inline>
        </w:drawing>
      </w:r>
    </w:p>
    <w:p w:rsidR="003C5B36" w:rsidRDefault="003C5B36">
      <w:pPr>
        <w:spacing w:line="288" w:lineRule="auto"/>
        <w:jc w:val="center"/>
        <w:rPr>
          <w:b/>
        </w:rPr>
      </w:pPr>
    </w:p>
    <w:p w:rsidR="003C5B36" w:rsidRDefault="00283F03">
      <w:pPr>
        <w:spacing w:line="288" w:lineRule="auto"/>
        <w:jc w:val="center"/>
      </w:pPr>
      <w:r>
        <w:rPr>
          <w:b/>
        </w:rPr>
        <w:lastRenderedPageBreak/>
        <w:t>Figura 4. Ataques según edad desde 1850 (como % de los casos totales) (intervalos de 10 años)</w:t>
      </w:r>
      <w:r>
        <w:rPr>
          <w:noProof/>
        </w:rPr>
        <w:drawing>
          <wp:inline distT="114300" distB="114300" distL="114300" distR="114300">
            <wp:extent cx="4394200" cy="17526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t="144" b="144"/>
                    <a:stretch>
                      <a:fillRect/>
                    </a:stretch>
                  </pic:blipFill>
                  <pic:spPr>
                    <a:xfrm>
                      <a:off x="0" y="0"/>
                      <a:ext cx="4394200" cy="1752600"/>
                    </a:xfrm>
                    <a:prstGeom prst="rect">
                      <a:avLst/>
                    </a:prstGeom>
                    <a:ln/>
                  </pic:spPr>
                </pic:pic>
              </a:graphicData>
            </a:graphic>
          </wp:inline>
        </w:drawing>
      </w:r>
    </w:p>
    <w:p w:rsidR="003C5B36" w:rsidRDefault="003C5B36">
      <w:pPr>
        <w:spacing w:line="288" w:lineRule="auto"/>
        <w:jc w:val="center"/>
      </w:pPr>
    </w:p>
    <w:p w:rsidR="003C5B36" w:rsidRDefault="00283F03">
      <w:pPr>
        <w:spacing w:line="288" w:lineRule="auto"/>
        <w:jc w:val="center"/>
        <w:rPr>
          <w:b/>
        </w:rPr>
      </w:pPr>
      <w:r>
        <w:rPr>
          <w:b/>
        </w:rPr>
        <w:t>Figura 5. Ataques según tipo desde 1850 (como % de los casos totales) (intervalos de 10 años)</w:t>
      </w:r>
      <w:r>
        <w:rPr>
          <w:b/>
          <w:noProof/>
        </w:rPr>
        <w:drawing>
          <wp:inline distT="114300" distB="114300" distL="114300" distR="114300">
            <wp:extent cx="4394200" cy="17526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t="144" b="144"/>
                    <a:stretch>
                      <a:fillRect/>
                    </a:stretch>
                  </pic:blipFill>
                  <pic:spPr>
                    <a:xfrm>
                      <a:off x="0" y="0"/>
                      <a:ext cx="4394200" cy="1752600"/>
                    </a:xfrm>
                    <a:prstGeom prst="rect">
                      <a:avLst/>
                    </a:prstGeom>
                    <a:ln/>
                  </pic:spPr>
                </pic:pic>
              </a:graphicData>
            </a:graphic>
          </wp:inline>
        </w:drawing>
      </w:r>
    </w:p>
    <w:p w:rsidR="003C5B36" w:rsidRDefault="003C5B36">
      <w:pPr>
        <w:spacing w:line="288" w:lineRule="auto"/>
        <w:jc w:val="center"/>
        <w:rPr>
          <w:b/>
        </w:rPr>
      </w:pPr>
    </w:p>
    <w:p w:rsidR="003C5B36" w:rsidRDefault="00283F03">
      <w:pPr>
        <w:spacing w:line="288" w:lineRule="auto"/>
        <w:jc w:val="center"/>
        <w:rPr>
          <w:b/>
        </w:rPr>
      </w:pPr>
      <w:r>
        <w:rPr>
          <w:b/>
        </w:rPr>
        <w:t xml:space="preserve">Figura 6. Ataques según </w:t>
      </w:r>
      <w:proofErr w:type="spellStart"/>
      <w:r>
        <w:rPr>
          <w:b/>
        </w:rPr>
        <w:t>region</w:t>
      </w:r>
      <w:proofErr w:type="spellEnd"/>
      <w:r>
        <w:rPr>
          <w:b/>
        </w:rPr>
        <w:t xml:space="preserve"> desde 1850 (como % de los casos totales) (intervalos de 10 años)</w:t>
      </w:r>
      <w:r>
        <w:rPr>
          <w:b/>
          <w:noProof/>
        </w:rPr>
        <w:drawing>
          <wp:inline distT="114300" distB="114300" distL="114300" distR="114300">
            <wp:extent cx="4394200" cy="17526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4394200" cy="1752600"/>
                    </a:xfrm>
                    <a:prstGeom prst="rect">
                      <a:avLst/>
                    </a:prstGeom>
                    <a:ln/>
                  </pic:spPr>
                </pic:pic>
              </a:graphicData>
            </a:graphic>
          </wp:inline>
        </w:drawing>
      </w:r>
    </w:p>
    <w:p w:rsidR="003C5B36" w:rsidRDefault="003C5B36">
      <w:pPr>
        <w:spacing w:line="288" w:lineRule="auto"/>
        <w:jc w:val="center"/>
        <w:rPr>
          <w:b/>
        </w:rPr>
      </w:pPr>
    </w:p>
    <w:p w:rsidR="003C5B36" w:rsidRDefault="00283F03">
      <w:pPr>
        <w:spacing w:after="120" w:line="288" w:lineRule="auto"/>
      </w:pPr>
      <w:r>
        <w:t xml:space="preserve">Las figuras 3, 4, 5 y 6 representan la evolución temporal de la frecuencia relativa de los ataques discriminados por fatalidad, edad, tipo y </w:t>
      </w:r>
      <w:proofErr w:type="spellStart"/>
      <w:r>
        <w:t>region</w:t>
      </w:r>
      <w:proofErr w:type="spellEnd"/>
      <w:r>
        <w:t>. En todos los casos se excluyen los episodios previos a 1850 debido a la baja cantidad de casos y a la alta variabilidad de las proporciones estimadas. Del análisis de estas figuras se desprende que:</w:t>
      </w:r>
    </w:p>
    <w:p w:rsidR="003C5B36" w:rsidRDefault="00283F03">
      <w:pPr>
        <w:numPr>
          <w:ilvl w:val="0"/>
          <w:numId w:val="4"/>
        </w:numPr>
        <w:spacing w:after="120" w:line="288" w:lineRule="auto"/>
        <w:contextualSpacing/>
      </w:pPr>
      <w:r>
        <w:lastRenderedPageBreak/>
        <w:t xml:space="preserve">La relevancia de los casos fatales tiene una tendencia claramente decreciente a lo largo del tiempo. </w:t>
      </w:r>
    </w:p>
    <w:p w:rsidR="003C5B36" w:rsidRDefault="00283F03">
      <w:pPr>
        <w:numPr>
          <w:ilvl w:val="0"/>
          <w:numId w:val="4"/>
        </w:numPr>
        <w:spacing w:after="120" w:line="288" w:lineRule="auto"/>
        <w:contextualSpacing/>
      </w:pPr>
      <w:r>
        <w:t xml:space="preserve">La incidencia de los ataques es aproximadamente similar para jóvenes y adultos a principios de siglo XX. A partir de ese punto, la proporción de casos que involucran a adultos crece notablemente -- sin embargo, esto se explica por la caída de la importancia de los casos donde la edad es desconocida. Hipotetizamos que la incidencia en adultos es siempre más alta que la de jóvenes a lo largo del tiempo, pero en los episodios antiguos la información no estaba disponible. </w:t>
      </w:r>
    </w:p>
    <w:p w:rsidR="003C5B36" w:rsidRDefault="00283F03">
      <w:pPr>
        <w:numPr>
          <w:ilvl w:val="0"/>
          <w:numId w:val="4"/>
        </w:numPr>
        <w:spacing w:after="120" w:line="288" w:lineRule="auto"/>
        <w:contextualSpacing/>
      </w:pPr>
      <w:r>
        <w:t>Los ataques de tipo “</w:t>
      </w:r>
      <w:proofErr w:type="spellStart"/>
      <w:r>
        <w:t>unprovoked</w:t>
      </w:r>
      <w:proofErr w:type="spellEnd"/>
      <w:r>
        <w:t xml:space="preserve">” son predominantes a lo largo del tiempo. Lo </w:t>
      </w:r>
      <w:proofErr w:type="gramStart"/>
      <w:r>
        <w:t>que</w:t>
      </w:r>
      <w:proofErr w:type="gramEnd"/>
      <w:r>
        <w:t xml:space="preserve"> es más, ganan aún más peso en los últimos 60 años en detrimento del resto de los tipos -- “</w:t>
      </w:r>
      <w:proofErr w:type="spellStart"/>
      <w:r>
        <w:t>boating</w:t>
      </w:r>
      <w:proofErr w:type="spellEnd"/>
      <w:r>
        <w:t xml:space="preserve">”, “sea </w:t>
      </w:r>
      <w:proofErr w:type="spellStart"/>
      <w:r>
        <w:t>disaster</w:t>
      </w:r>
      <w:proofErr w:type="spellEnd"/>
      <w:r>
        <w:t>” y “</w:t>
      </w:r>
      <w:proofErr w:type="spellStart"/>
      <w:r>
        <w:t>provoked</w:t>
      </w:r>
      <w:proofErr w:type="spellEnd"/>
      <w:r>
        <w:t xml:space="preserve">”. Se destaca un máximo local en la proporción de “Sea </w:t>
      </w:r>
      <w:proofErr w:type="spellStart"/>
      <w:r>
        <w:t>disaster</w:t>
      </w:r>
      <w:proofErr w:type="spellEnd"/>
      <w:r>
        <w:t>” en el período 1940-1950.</w:t>
      </w:r>
    </w:p>
    <w:p w:rsidR="003C5B36" w:rsidRDefault="00283F03">
      <w:pPr>
        <w:numPr>
          <w:ilvl w:val="0"/>
          <w:numId w:val="4"/>
        </w:numPr>
        <w:spacing w:after="120" w:line="288" w:lineRule="auto"/>
        <w:contextualSpacing/>
      </w:pPr>
      <w:r>
        <w:t xml:space="preserve">Durante los últimos 70 años los casos ocurridos en </w:t>
      </w:r>
      <w:proofErr w:type="gramStart"/>
      <w:r>
        <w:t>EEUU</w:t>
      </w:r>
      <w:proofErr w:type="gramEnd"/>
      <w:r>
        <w:t xml:space="preserve"> reemplazan a los ocurridos en Australia y otras regiones como origen principal de los ataques. Entre 1930 y 1990 se registra además un salto de nivel sensible en la proporción de episodios ocurridos en Sudáfrica, que retorna en los últimos años a </w:t>
      </w:r>
      <w:proofErr w:type="spellStart"/>
      <w:r>
        <w:t>lo</w:t>
      </w:r>
      <w:proofErr w:type="spellEnd"/>
      <w:r>
        <w:t xml:space="preserve"> niveles históricamente normales.</w:t>
      </w:r>
    </w:p>
    <w:p w:rsidR="003C5B36" w:rsidRDefault="00283F03">
      <w:pPr>
        <w:numPr>
          <w:ilvl w:val="0"/>
          <w:numId w:val="4"/>
        </w:numPr>
        <w:spacing w:after="120" w:line="288" w:lineRule="auto"/>
        <w:contextualSpacing/>
      </w:pPr>
      <w:r>
        <w:t xml:space="preserve">En términos generales, la proporción de casos sin información disponible (“unknown”) es decreciente a lo largo del tiempo, pasando a ser despreciable en los atributos </w:t>
      </w:r>
      <w:proofErr w:type="spellStart"/>
      <w:r>
        <w:t>region</w:t>
      </w:r>
      <w:proofErr w:type="spellEnd"/>
      <w:r>
        <w:t xml:space="preserve"> y fatal.</w:t>
      </w:r>
    </w:p>
    <w:p w:rsidR="00C90D83" w:rsidRDefault="00C90D83" w:rsidP="00C90D83">
      <w:pPr>
        <w:spacing w:after="120" w:line="288" w:lineRule="auto"/>
        <w:ind w:firstLine="0"/>
        <w:contextualSpacing/>
      </w:pPr>
    </w:p>
    <w:p w:rsidR="003C5B36" w:rsidRDefault="00283F03">
      <w:pPr>
        <w:spacing w:after="120" w:line="288" w:lineRule="auto"/>
        <w:rPr>
          <w:b/>
        </w:rPr>
      </w:pPr>
      <w:r>
        <w:t>Para estudiar las relaciones entre las variables categóricas del dataset se construyeron tablas de contingencia entre las 15 combinaciones posibles de pares de variables. En todos los casos se observó un resultado significativo al realizar la prueba chi-cuadrado (p-valor menor a 0.01). Sin embargo, esto se debe a la inclusión de los valores faltantes (“unknown”) de cada atributo. Al omitir las observaciones faltantes se registran solo dos combinaciones con ausencia de independencia estadísticamente significativa y perfiles claramente distintos entre grupos. En las figuras 7 y 8 se presentan estos resultados gráficamente, condicionando las frecuencias por la variable representada por el color. Las etiquetas de cada barra indican la frecuencia conjunta de cada combinación de niveles. Cabe destacar que la pérdida de información por usar solo los casos completos es significativa: sólo el 36.5% de los 5.722 casos originales cumplen con esta condición.</w:t>
      </w:r>
    </w:p>
    <w:p w:rsidR="003C5B36" w:rsidRDefault="00283F03">
      <w:pPr>
        <w:spacing w:line="288" w:lineRule="auto"/>
        <w:jc w:val="center"/>
        <w:rPr>
          <w:b/>
        </w:rPr>
      </w:pPr>
      <w:r>
        <w:rPr>
          <w:b/>
        </w:rPr>
        <w:lastRenderedPageBreak/>
        <w:t xml:space="preserve">Figura 7. Proporción de casos según </w:t>
      </w:r>
      <w:proofErr w:type="spellStart"/>
      <w:r>
        <w:rPr>
          <w:b/>
        </w:rPr>
        <w:t>region</w:t>
      </w:r>
      <w:proofErr w:type="spellEnd"/>
      <w:r>
        <w:rPr>
          <w:b/>
        </w:rPr>
        <w:t xml:space="preserve"> (condicionado por sexo)</w:t>
      </w:r>
      <w:r>
        <w:rPr>
          <w:b/>
          <w:noProof/>
        </w:rPr>
        <w:drawing>
          <wp:inline distT="114300" distB="114300" distL="114300" distR="114300">
            <wp:extent cx="4394200" cy="20955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t="94" b="94"/>
                    <a:stretch>
                      <a:fillRect/>
                    </a:stretch>
                  </pic:blipFill>
                  <pic:spPr>
                    <a:xfrm>
                      <a:off x="0" y="0"/>
                      <a:ext cx="4394200" cy="2095500"/>
                    </a:xfrm>
                    <a:prstGeom prst="rect">
                      <a:avLst/>
                    </a:prstGeom>
                    <a:ln/>
                  </pic:spPr>
                </pic:pic>
              </a:graphicData>
            </a:graphic>
          </wp:inline>
        </w:drawing>
      </w:r>
    </w:p>
    <w:p w:rsidR="003C5B36" w:rsidRDefault="00283F03">
      <w:pPr>
        <w:spacing w:line="288" w:lineRule="auto"/>
        <w:jc w:val="center"/>
        <w:rPr>
          <w:b/>
        </w:rPr>
      </w:pPr>
      <w:r>
        <w:rPr>
          <w:b/>
        </w:rPr>
        <w:t xml:space="preserve">Figura 8. Proporción de casos según fatalidad (condicionado por </w:t>
      </w:r>
      <w:proofErr w:type="spellStart"/>
      <w:r>
        <w:rPr>
          <w:b/>
        </w:rPr>
        <w:t>region</w:t>
      </w:r>
      <w:proofErr w:type="spellEnd"/>
      <w:r>
        <w:rPr>
          <w:b/>
        </w:rPr>
        <w:t>)</w:t>
      </w:r>
      <w:r>
        <w:rPr>
          <w:b/>
          <w:noProof/>
        </w:rPr>
        <w:drawing>
          <wp:inline distT="114300" distB="114300" distL="114300" distR="114300">
            <wp:extent cx="4394200" cy="20955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t="94" b="94"/>
                    <a:stretch>
                      <a:fillRect/>
                    </a:stretch>
                  </pic:blipFill>
                  <pic:spPr>
                    <a:xfrm>
                      <a:off x="0" y="0"/>
                      <a:ext cx="4394200" cy="2095500"/>
                    </a:xfrm>
                    <a:prstGeom prst="rect">
                      <a:avLst/>
                    </a:prstGeom>
                    <a:ln/>
                  </pic:spPr>
                </pic:pic>
              </a:graphicData>
            </a:graphic>
          </wp:inline>
        </w:drawing>
      </w:r>
    </w:p>
    <w:p w:rsidR="003C5B36" w:rsidRDefault="00283F03">
      <w:pPr>
        <w:spacing w:after="120" w:line="288" w:lineRule="auto"/>
      </w:pPr>
      <w:r>
        <w:t xml:space="preserve">En primer lugar, la figura 7 muestra que la incidencia de los casos ocurridos en </w:t>
      </w:r>
      <w:proofErr w:type="gramStart"/>
      <w:r>
        <w:t>EEUU</w:t>
      </w:r>
      <w:proofErr w:type="gramEnd"/>
      <w:r>
        <w:t xml:space="preserve"> es significativamente mayor dentro del grupo de las mujeres que entre los hombres (65.9% vs 46.8%). En cambio, dentro los hombres la relevancia de Sudáfrica como origen es mayor que dentro de los episodios que involucran a mujeres (14.7% vs 3.8%). La figura 8, por su parte, indica que la probabilidad de que un ataque no sea fatal es sensiblemente mayor si ocurre en Estados Unidos que en el resto del mundo: el 5.5% de los casos de </w:t>
      </w:r>
      <w:proofErr w:type="gramStart"/>
      <w:r>
        <w:t>EEUU</w:t>
      </w:r>
      <w:proofErr w:type="gramEnd"/>
      <w:r>
        <w:t xml:space="preserve"> son fatales, guarismo inferior a los observados en Australia (35.2%), Sudáfrica (22.9%) y otros lugares del mundo (34.5%). </w:t>
      </w:r>
    </w:p>
    <w:p w:rsidR="003C5B36" w:rsidRDefault="00283F03">
      <w:pPr>
        <w:spacing w:after="120" w:line="288" w:lineRule="auto"/>
      </w:pPr>
      <w:r>
        <w:t xml:space="preserve">Para construir reglas de asociación acerca de las características de los ataques de tiburones, los niveles de las variables descritas en el cuadro 1 fueron considerados como </w:t>
      </w:r>
      <w:r w:rsidR="00D6295D">
        <w:t>ítems</w:t>
      </w:r>
      <w:r>
        <w:t xml:space="preserve">. Como se observa en dicho cuadro, la variable “año” es la única variable numérica, por lo cual debió ser tratada para estudiar los patrones de asociación relativos al año de ocurrencia de los ataques. En particular, la variable fue discretizada construyeron tres </w:t>
      </w:r>
      <w:proofErr w:type="spellStart"/>
      <w:r>
        <w:t>bins</w:t>
      </w:r>
      <w:proofErr w:type="spellEnd"/>
      <w:r>
        <w:t xml:space="preserve"> para los años anteriores a 1800 -- cada uno de un siglo de longitud -- y </w:t>
      </w:r>
      <w:proofErr w:type="spellStart"/>
      <w:r>
        <w:t>bins</w:t>
      </w:r>
      <w:proofErr w:type="spellEnd"/>
      <w:r>
        <w:t xml:space="preserve"> de 10 años de longitud para los años posteriores a 1800. La asimetría en el método elegido se debe al fuerte patrón asimétrico en esta variable, observado en la figura 2.</w:t>
      </w:r>
    </w:p>
    <w:p w:rsidR="003C5B36" w:rsidRDefault="00283F03">
      <w:pPr>
        <w:spacing w:after="120" w:line="288" w:lineRule="auto"/>
      </w:pPr>
      <w:r>
        <w:lastRenderedPageBreak/>
        <w:t xml:space="preserve">Para identificar </w:t>
      </w:r>
      <w:proofErr w:type="spellStart"/>
      <w:r>
        <w:t>itemsets</w:t>
      </w:r>
      <w:proofErr w:type="spellEnd"/>
      <w:r>
        <w:t xml:space="preserve"> frecuentes se utilizó el algoritmo apriori, particularmente la implementación disponible en el paquete </w:t>
      </w:r>
      <w:proofErr w:type="spellStart"/>
      <w:r>
        <w:t>arules</w:t>
      </w:r>
      <w:proofErr w:type="spellEnd"/>
      <w:r>
        <w:t xml:space="preserve"> [2]. Se consideraron “frecuentes” todos aquellos </w:t>
      </w:r>
      <w:proofErr w:type="spellStart"/>
      <w:r>
        <w:t>itemsets</w:t>
      </w:r>
      <w:proofErr w:type="spellEnd"/>
      <w:r>
        <w:t xml:space="preserve"> con soporte mayor o igual a 1%, mientras que solo se tuvieron en cuenta reglas con una confianza mayor o igual a 30%. El algoritmo fue aplicado a dos configuraciones del dataset: </w:t>
      </w:r>
    </w:p>
    <w:p w:rsidR="003C5B36" w:rsidRDefault="00283F03">
      <w:pPr>
        <w:numPr>
          <w:ilvl w:val="0"/>
          <w:numId w:val="2"/>
        </w:numPr>
        <w:spacing w:after="120" w:line="288" w:lineRule="auto"/>
        <w:ind w:left="566"/>
        <w:contextualSpacing/>
      </w:pPr>
      <w:r>
        <w:t>En la configuración “A” se tuvieron en cuenta todas las variables del cuadro 1</w:t>
      </w:r>
    </w:p>
    <w:p w:rsidR="003C5B36" w:rsidRDefault="00283F03">
      <w:pPr>
        <w:numPr>
          <w:ilvl w:val="0"/>
          <w:numId w:val="2"/>
        </w:numPr>
        <w:spacing w:after="120" w:line="288" w:lineRule="auto"/>
        <w:ind w:left="566"/>
        <w:contextualSpacing/>
      </w:pPr>
      <w:r>
        <w:t>En la configuración “B” se omitió la variable que indica el</w:t>
      </w:r>
      <w:r w:rsidR="00D6295D">
        <w:t xml:space="preserve"> año </w:t>
      </w:r>
      <w:r>
        <w:t xml:space="preserve">y se consideraron únicamente los ataques del período 1990-2016. El objetivo es neutralizar el efecto del tiempo y de eventos históricos muy particulares en los patrones hallados. Asimismo, este un período con una alta frecuencia de casos y con una baja proporción de datos faltantes. </w:t>
      </w:r>
    </w:p>
    <w:p w:rsidR="003C5B36" w:rsidRDefault="00283F03">
      <w:pPr>
        <w:spacing w:after="120" w:line="288" w:lineRule="auto"/>
      </w:pPr>
      <w:r>
        <w:t xml:space="preserve">En ambas configuraciones no se consideraron las reglas que tuvieran presencia de valores “unknown” en cualquiera de las variables, en la medida en que refleja ignorancia de alguna/s característica/s del ataque. Asimismo, se eliminaron las reglas redundantes, es decir, todas aquellas reglas para las cuales existen reglas más generales -- con igual consecuente y un precedente más general -- con confianza al menos igual. </w:t>
      </w:r>
    </w:p>
    <w:p w:rsidR="003C5B36" w:rsidRDefault="00283F03">
      <w:pPr>
        <w:keepNext/>
        <w:keepLines/>
        <w:pBdr>
          <w:top w:val="nil"/>
          <w:left w:val="nil"/>
          <w:bottom w:val="nil"/>
          <w:right w:val="nil"/>
          <w:between w:val="nil"/>
        </w:pBdr>
        <w:tabs>
          <w:tab w:val="left" w:pos="454"/>
        </w:tabs>
        <w:spacing w:before="520" w:after="280"/>
        <w:ind w:firstLine="0"/>
      </w:pPr>
      <w:r>
        <w:rPr>
          <w:b/>
          <w:sz w:val="24"/>
          <w:szCs w:val="24"/>
        </w:rPr>
        <w:t xml:space="preserve">3   </w:t>
      </w:r>
      <w:proofErr w:type="gramStart"/>
      <w:r>
        <w:rPr>
          <w:b/>
          <w:sz w:val="24"/>
          <w:szCs w:val="24"/>
        </w:rPr>
        <w:t>Resultados</w:t>
      </w:r>
      <w:proofErr w:type="gramEnd"/>
      <w:r>
        <w:rPr>
          <w:b/>
          <w:sz w:val="24"/>
          <w:szCs w:val="24"/>
        </w:rPr>
        <w:t xml:space="preserve"> obtenidos</w:t>
      </w:r>
    </w:p>
    <w:p w:rsidR="003C5B36" w:rsidRDefault="00283F03">
      <w:pPr>
        <w:spacing w:after="120" w:line="288" w:lineRule="auto"/>
      </w:pPr>
      <w:r>
        <w:rPr>
          <w:b/>
          <w:sz w:val="22"/>
          <w:szCs w:val="22"/>
        </w:rPr>
        <w:t>Configuración A</w:t>
      </w:r>
    </w:p>
    <w:p w:rsidR="003C5B36" w:rsidRDefault="00283F03">
      <w:pPr>
        <w:spacing w:after="120" w:line="288" w:lineRule="auto"/>
      </w:pPr>
      <w:r>
        <w:t xml:space="preserve">Bajo esta configuración del dataset se obtuvieron 1.198 reglas de asociación </w:t>
      </w:r>
      <w:proofErr w:type="gramStart"/>
      <w:r>
        <w:t>de acuerdo a</w:t>
      </w:r>
      <w:proofErr w:type="gramEnd"/>
      <w:r>
        <w:t xml:space="preserve"> los criterios especificados en la sección anterior. Su composición por tamaño -- cantidad de ítems en cada regla -- se registra en el cuadro 2:</w:t>
      </w:r>
    </w:p>
    <w:p w:rsidR="003C5B36" w:rsidRDefault="00283F03">
      <w:pPr>
        <w:spacing w:line="288" w:lineRule="auto"/>
        <w:jc w:val="center"/>
        <w:rPr>
          <w:b/>
        </w:rPr>
      </w:pPr>
      <w:r>
        <w:rPr>
          <w:b/>
        </w:rPr>
        <w:t>Cuadro 2. Cantidad de reglas según tamaño (configuración A)</w:t>
      </w:r>
    </w:p>
    <w:tbl>
      <w:tblPr>
        <w:tblW w:w="0" w:type="auto"/>
        <w:tblCellMar>
          <w:top w:w="15" w:type="dxa"/>
          <w:left w:w="15" w:type="dxa"/>
          <w:bottom w:w="15" w:type="dxa"/>
          <w:right w:w="15" w:type="dxa"/>
        </w:tblCellMar>
        <w:tblLook w:val="04A0" w:firstRow="1" w:lastRow="0" w:firstColumn="1" w:lastColumn="0" w:noHBand="0" w:noVBand="1"/>
      </w:tblPr>
      <w:tblGrid>
        <w:gridCol w:w="1247"/>
        <w:gridCol w:w="709"/>
        <w:gridCol w:w="992"/>
        <w:gridCol w:w="992"/>
        <w:gridCol w:w="992"/>
        <w:gridCol w:w="992"/>
        <w:gridCol w:w="992"/>
      </w:tblGrid>
      <w:tr w:rsidR="00D6295D" w:rsidRPr="00D6295D" w:rsidTr="00D6295D">
        <w:tc>
          <w:tcPr>
            <w:tcW w:w="1247" w:type="dxa"/>
            <w:tcBorders>
              <w:top w:val="double" w:sz="6" w:space="0" w:color="auto"/>
              <w:bottom w:val="single" w:sz="6" w:space="0" w:color="000000"/>
            </w:tcBorders>
            <w:tcMar>
              <w:top w:w="113" w:type="dxa"/>
              <w:left w:w="113" w:type="dxa"/>
              <w:bottom w:w="113" w:type="dxa"/>
              <w:right w:w="113" w:type="dxa"/>
            </w:tcMar>
            <w:vAlign w:val="center"/>
            <w:hideMark/>
          </w:tcPr>
          <w:p w:rsidR="00D6295D" w:rsidRPr="00D6295D" w:rsidRDefault="00D6295D" w:rsidP="00283F03">
            <w:pPr>
              <w:jc w:val="center"/>
              <w:rPr>
                <w:rFonts w:eastAsia="Times New Roman"/>
                <w:i/>
                <w:iCs/>
                <w:sz w:val="16"/>
                <w:szCs w:val="24"/>
              </w:rPr>
            </w:pPr>
            <w:proofErr w:type="spellStart"/>
            <w:r w:rsidRPr="00D6295D">
              <w:rPr>
                <w:rFonts w:eastAsia="Times New Roman"/>
                <w:i/>
                <w:iCs/>
                <w:sz w:val="16"/>
              </w:rPr>
              <w:t>sizes</w:t>
            </w:r>
            <w:proofErr w:type="spellEnd"/>
          </w:p>
        </w:tc>
        <w:tc>
          <w:tcPr>
            <w:tcW w:w="709" w:type="dxa"/>
            <w:tcBorders>
              <w:top w:val="double" w:sz="6" w:space="0" w:color="auto"/>
              <w:bottom w:val="single" w:sz="6" w:space="0" w:color="000000"/>
            </w:tcBorders>
          </w:tcPr>
          <w:p w:rsidR="00D6295D" w:rsidRPr="00D6295D" w:rsidRDefault="00D6295D" w:rsidP="00283F03">
            <w:pPr>
              <w:jc w:val="center"/>
              <w:rPr>
                <w:rFonts w:eastAsia="Times New Roman"/>
                <w:iCs/>
                <w:sz w:val="16"/>
              </w:rPr>
            </w:pPr>
            <w:r>
              <w:rPr>
                <w:rFonts w:eastAsia="Times New Roman"/>
                <w:iCs/>
                <w:sz w:val="16"/>
              </w:rPr>
              <w:t>2</w:t>
            </w:r>
          </w:p>
        </w:tc>
        <w:tc>
          <w:tcPr>
            <w:tcW w:w="992" w:type="dxa"/>
            <w:tcBorders>
              <w:top w:val="double" w:sz="6" w:space="0" w:color="auto"/>
              <w:bottom w:val="single" w:sz="6" w:space="0" w:color="000000"/>
            </w:tcBorders>
          </w:tcPr>
          <w:p w:rsidR="00D6295D" w:rsidRPr="00D6295D" w:rsidRDefault="00D6295D" w:rsidP="00283F03">
            <w:pPr>
              <w:jc w:val="center"/>
              <w:rPr>
                <w:rFonts w:eastAsia="Times New Roman"/>
                <w:iCs/>
                <w:sz w:val="16"/>
              </w:rPr>
            </w:pPr>
            <w:r>
              <w:rPr>
                <w:rFonts w:eastAsia="Times New Roman"/>
                <w:iCs/>
                <w:sz w:val="16"/>
              </w:rPr>
              <w:t>3</w:t>
            </w:r>
          </w:p>
        </w:tc>
        <w:tc>
          <w:tcPr>
            <w:tcW w:w="992" w:type="dxa"/>
            <w:tcBorders>
              <w:top w:val="double" w:sz="6" w:space="0" w:color="auto"/>
              <w:bottom w:val="single" w:sz="6" w:space="0" w:color="000000"/>
            </w:tcBorders>
          </w:tcPr>
          <w:p w:rsidR="00D6295D" w:rsidRPr="00D6295D" w:rsidRDefault="00D6295D" w:rsidP="00283F03">
            <w:pPr>
              <w:jc w:val="center"/>
              <w:rPr>
                <w:rFonts w:eastAsia="Times New Roman"/>
                <w:iCs/>
                <w:sz w:val="16"/>
              </w:rPr>
            </w:pPr>
            <w:r>
              <w:rPr>
                <w:rFonts w:eastAsia="Times New Roman"/>
                <w:iCs/>
                <w:sz w:val="16"/>
              </w:rPr>
              <w:t>4</w:t>
            </w:r>
          </w:p>
        </w:tc>
        <w:tc>
          <w:tcPr>
            <w:tcW w:w="992" w:type="dxa"/>
            <w:tcBorders>
              <w:top w:val="double" w:sz="6" w:space="0" w:color="auto"/>
              <w:bottom w:val="single" w:sz="6" w:space="0" w:color="000000"/>
            </w:tcBorders>
          </w:tcPr>
          <w:p w:rsidR="00D6295D" w:rsidRPr="00D6295D" w:rsidRDefault="00D6295D" w:rsidP="00283F03">
            <w:pPr>
              <w:jc w:val="center"/>
              <w:rPr>
                <w:rFonts w:eastAsia="Times New Roman"/>
                <w:iCs/>
                <w:sz w:val="16"/>
              </w:rPr>
            </w:pPr>
            <w:r>
              <w:rPr>
                <w:rFonts w:eastAsia="Times New Roman"/>
                <w:iCs/>
                <w:sz w:val="16"/>
              </w:rPr>
              <w:t>5</w:t>
            </w:r>
          </w:p>
        </w:tc>
        <w:tc>
          <w:tcPr>
            <w:tcW w:w="992" w:type="dxa"/>
            <w:tcBorders>
              <w:top w:val="double" w:sz="6" w:space="0" w:color="auto"/>
              <w:bottom w:val="single" w:sz="6" w:space="0" w:color="000000"/>
            </w:tcBorders>
          </w:tcPr>
          <w:p w:rsidR="00D6295D" w:rsidRPr="00D6295D" w:rsidRDefault="00D6295D" w:rsidP="00283F03">
            <w:pPr>
              <w:jc w:val="center"/>
              <w:rPr>
                <w:rFonts w:eastAsia="Times New Roman"/>
                <w:iCs/>
                <w:sz w:val="16"/>
              </w:rPr>
            </w:pPr>
            <w:r>
              <w:rPr>
                <w:rFonts w:eastAsia="Times New Roman"/>
                <w:iCs/>
                <w:sz w:val="16"/>
              </w:rPr>
              <w:t>6</w:t>
            </w:r>
          </w:p>
        </w:tc>
        <w:tc>
          <w:tcPr>
            <w:tcW w:w="992" w:type="dxa"/>
            <w:tcBorders>
              <w:top w:val="double" w:sz="6" w:space="0" w:color="auto"/>
              <w:bottom w:val="single" w:sz="6" w:space="0" w:color="000000"/>
            </w:tcBorders>
            <w:tcMar>
              <w:top w:w="113" w:type="dxa"/>
              <w:left w:w="113" w:type="dxa"/>
              <w:bottom w:w="113" w:type="dxa"/>
              <w:right w:w="113" w:type="dxa"/>
            </w:tcMar>
            <w:vAlign w:val="center"/>
            <w:hideMark/>
          </w:tcPr>
          <w:p w:rsidR="00D6295D" w:rsidRPr="00D6295D" w:rsidRDefault="00D6295D" w:rsidP="00283F03">
            <w:pPr>
              <w:jc w:val="center"/>
              <w:rPr>
                <w:rFonts w:eastAsia="Times New Roman"/>
                <w:iCs/>
                <w:sz w:val="16"/>
              </w:rPr>
            </w:pPr>
            <w:r>
              <w:rPr>
                <w:rFonts w:eastAsia="Times New Roman"/>
                <w:iCs/>
                <w:sz w:val="16"/>
              </w:rPr>
              <w:t>7</w:t>
            </w:r>
          </w:p>
        </w:tc>
      </w:tr>
      <w:tr w:rsidR="00D6295D" w:rsidRPr="00D6295D" w:rsidTr="00D6295D">
        <w:tc>
          <w:tcPr>
            <w:tcW w:w="1247" w:type="dxa"/>
            <w:tcBorders>
              <w:bottom w:val="double" w:sz="6" w:space="0" w:color="auto"/>
            </w:tcBorders>
            <w:tcMar>
              <w:top w:w="113" w:type="dxa"/>
              <w:left w:w="113" w:type="dxa"/>
              <w:bottom w:w="113" w:type="dxa"/>
              <w:right w:w="113" w:type="dxa"/>
            </w:tcMar>
          </w:tcPr>
          <w:p w:rsidR="00D6295D" w:rsidRPr="00D6295D" w:rsidRDefault="00D6295D" w:rsidP="00D6295D">
            <w:pPr>
              <w:jc w:val="center"/>
              <w:rPr>
                <w:rFonts w:eastAsia="Times New Roman"/>
                <w:sz w:val="16"/>
              </w:rPr>
            </w:pPr>
            <w:proofErr w:type="spellStart"/>
            <w:r w:rsidRPr="00D6295D">
              <w:rPr>
                <w:rFonts w:eastAsia="Times New Roman"/>
                <w:i/>
                <w:iCs/>
                <w:sz w:val="16"/>
              </w:rPr>
              <w:t>Freq</w:t>
            </w:r>
            <w:r>
              <w:rPr>
                <w:rFonts w:eastAsia="Times New Roman"/>
                <w:i/>
                <w:iCs/>
                <w:sz w:val="16"/>
              </w:rPr>
              <w:t>uency</w:t>
            </w:r>
            <w:proofErr w:type="spellEnd"/>
          </w:p>
        </w:tc>
        <w:tc>
          <w:tcPr>
            <w:tcW w:w="709" w:type="dxa"/>
            <w:tcBorders>
              <w:bottom w:val="double" w:sz="6" w:space="0" w:color="auto"/>
            </w:tcBorders>
          </w:tcPr>
          <w:p w:rsidR="00D6295D" w:rsidRPr="00D6295D" w:rsidRDefault="00D6295D" w:rsidP="00D6295D">
            <w:pPr>
              <w:jc w:val="center"/>
              <w:rPr>
                <w:rFonts w:eastAsia="Times New Roman"/>
                <w:sz w:val="16"/>
              </w:rPr>
            </w:pPr>
            <w:r>
              <w:rPr>
                <w:rFonts w:eastAsia="Times New Roman"/>
                <w:sz w:val="16"/>
              </w:rPr>
              <w:t>164</w:t>
            </w:r>
          </w:p>
        </w:tc>
        <w:tc>
          <w:tcPr>
            <w:tcW w:w="992" w:type="dxa"/>
            <w:tcBorders>
              <w:bottom w:val="double" w:sz="6" w:space="0" w:color="auto"/>
            </w:tcBorders>
          </w:tcPr>
          <w:p w:rsidR="00D6295D" w:rsidRPr="00D6295D" w:rsidRDefault="00D6295D" w:rsidP="00D6295D">
            <w:pPr>
              <w:jc w:val="center"/>
              <w:rPr>
                <w:rFonts w:eastAsia="Times New Roman"/>
                <w:sz w:val="16"/>
              </w:rPr>
            </w:pPr>
            <w:r>
              <w:rPr>
                <w:rFonts w:eastAsia="Times New Roman"/>
                <w:sz w:val="16"/>
              </w:rPr>
              <w:t>390</w:t>
            </w:r>
          </w:p>
        </w:tc>
        <w:tc>
          <w:tcPr>
            <w:tcW w:w="992" w:type="dxa"/>
            <w:tcBorders>
              <w:bottom w:val="double" w:sz="6" w:space="0" w:color="auto"/>
            </w:tcBorders>
          </w:tcPr>
          <w:p w:rsidR="00D6295D" w:rsidRPr="00D6295D" w:rsidRDefault="00D6295D" w:rsidP="00D6295D">
            <w:pPr>
              <w:jc w:val="center"/>
              <w:rPr>
                <w:rFonts w:eastAsia="Times New Roman"/>
                <w:sz w:val="16"/>
              </w:rPr>
            </w:pPr>
            <w:r>
              <w:rPr>
                <w:rFonts w:eastAsia="Times New Roman"/>
                <w:sz w:val="16"/>
              </w:rPr>
              <w:t>414</w:t>
            </w:r>
          </w:p>
        </w:tc>
        <w:tc>
          <w:tcPr>
            <w:tcW w:w="992" w:type="dxa"/>
            <w:tcBorders>
              <w:bottom w:val="double" w:sz="6" w:space="0" w:color="auto"/>
            </w:tcBorders>
          </w:tcPr>
          <w:p w:rsidR="00D6295D" w:rsidRPr="00D6295D" w:rsidRDefault="00D6295D" w:rsidP="00D6295D">
            <w:pPr>
              <w:jc w:val="center"/>
              <w:rPr>
                <w:rFonts w:eastAsia="Times New Roman"/>
                <w:sz w:val="16"/>
              </w:rPr>
            </w:pPr>
            <w:r>
              <w:rPr>
                <w:rFonts w:eastAsia="Times New Roman"/>
                <w:sz w:val="16"/>
              </w:rPr>
              <w:t>182</w:t>
            </w:r>
          </w:p>
        </w:tc>
        <w:tc>
          <w:tcPr>
            <w:tcW w:w="992" w:type="dxa"/>
            <w:tcBorders>
              <w:bottom w:val="double" w:sz="6" w:space="0" w:color="auto"/>
            </w:tcBorders>
          </w:tcPr>
          <w:p w:rsidR="00D6295D" w:rsidRPr="00D6295D" w:rsidRDefault="00D6295D" w:rsidP="00D6295D">
            <w:pPr>
              <w:jc w:val="center"/>
              <w:rPr>
                <w:rFonts w:eastAsia="Times New Roman"/>
                <w:sz w:val="16"/>
              </w:rPr>
            </w:pPr>
            <w:r>
              <w:rPr>
                <w:rFonts w:eastAsia="Times New Roman"/>
                <w:sz w:val="16"/>
              </w:rPr>
              <w:t>35</w:t>
            </w:r>
          </w:p>
        </w:tc>
        <w:tc>
          <w:tcPr>
            <w:tcW w:w="992" w:type="dxa"/>
            <w:tcBorders>
              <w:bottom w:val="double" w:sz="6" w:space="0" w:color="auto"/>
            </w:tcBorders>
            <w:tcMar>
              <w:top w:w="113" w:type="dxa"/>
              <w:left w:w="113" w:type="dxa"/>
              <w:bottom w:w="113" w:type="dxa"/>
              <w:right w:w="113" w:type="dxa"/>
            </w:tcMar>
          </w:tcPr>
          <w:p w:rsidR="00D6295D" w:rsidRPr="00D6295D" w:rsidRDefault="00D6295D" w:rsidP="00D6295D">
            <w:pPr>
              <w:jc w:val="center"/>
              <w:rPr>
                <w:rFonts w:eastAsia="Times New Roman"/>
                <w:sz w:val="16"/>
              </w:rPr>
            </w:pPr>
            <w:r>
              <w:rPr>
                <w:rFonts w:eastAsia="Times New Roman"/>
                <w:sz w:val="16"/>
              </w:rPr>
              <w:t>2</w:t>
            </w:r>
          </w:p>
        </w:tc>
      </w:tr>
    </w:tbl>
    <w:p w:rsidR="00D6295D" w:rsidRDefault="00D6295D">
      <w:pPr>
        <w:spacing w:line="288" w:lineRule="auto"/>
        <w:jc w:val="center"/>
      </w:pPr>
    </w:p>
    <w:p w:rsidR="003C5B36" w:rsidRDefault="00283F03">
      <w:pPr>
        <w:spacing w:after="120" w:line="288" w:lineRule="auto"/>
      </w:pPr>
      <w:r>
        <w:t xml:space="preserve">En el cuadro 2 se observa que alrededor del 67% de las reglas generadas contiene entre 3 y 4 ítems, mientras que se destaca la dificultad para hallar reglas “grandes”: solo el 3% de las reglas tiene entre 6 y 7 </w:t>
      </w:r>
      <w:proofErr w:type="spellStart"/>
      <w:r>
        <w:t>items</w:t>
      </w:r>
      <w:proofErr w:type="spellEnd"/>
      <w:r>
        <w:t>.</w:t>
      </w:r>
    </w:p>
    <w:p w:rsidR="003C5B36" w:rsidRDefault="00283F03">
      <w:pPr>
        <w:spacing w:line="288" w:lineRule="auto"/>
        <w:jc w:val="center"/>
        <w:rPr>
          <w:b/>
        </w:rPr>
      </w:pPr>
      <w:r>
        <w:rPr>
          <w:b/>
        </w:rPr>
        <w:t xml:space="preserve">Cuadro 3. </w:t>
      </w:r>
      <w:r w:rsidRPr="000E65F1">
        <w:rPr>
          <w:b/>
        </w:rPr>
        <w:t>Diez</w:t>
      </w:r>
      <w:r>
        <w:rPr>
          <w:b/>
        </w:rPr>
        <w:t xml:space="preserve"> reglas con mayor soporte (configuración A)</w:t>
      </w:r>
    </w:p>
    <w:tbl>
      <w:tblPr>
        <w:tblW w:w="0" w:type="auto"/>
        <w:jc w:val="center"/>
        <w:tblCellMar>
          <w:top w:w="15" w:type="dxa"/>
          <w:left w:w="15" w:type="dxa"/>
          <w:bottom w:w="15" w:type="dxa"/>
          <w:right w:w="15" w:type="dxa"/>
        </w:tblCellMar>
        <w:tblLook w:val="04A0" w:firstRow="1" w:lastRow="0" w:firstColumn="1" w:lastColumn="0" w:noHBand="0" w:noVBand="1"/>
      </w:tblPr>
      <w:tblGrid>
        <w:gridCol w:w="3003"/>
        <w:gridCol w:w="989"/>
        <w:gridCol w:w="1132"/>
        <w:gridCol w:w="768"/>
        <w:gridCol w:w="1080"/>
      </w:tblGrid>
      <w:tr w:rsidR="000E65F1" w:rsidRPr="008253DD" w:rsidTr="00032A91">
        <w:trPr>
          <w:trHeight w:val="136"/>
          <w:jc w:val="center"/>
        </w:trPr>
        <w:tc>
          <w:tcPr>
            <w:tcW w:w="3013" w:type="dxa"/>
            <w:tcBorders>
              <w:top w:val="double" w:sz="6" w:space="0" w:color="auto"/>
              <w:bottom w:val="single" w:sz="6" w:space="0" w:color="000000"/>
            </w:tcBorders>
            <w:tcMar>
              <w:top w:w="28" w:type="dxa"/>
              <w:left w:w="28" w:type="dxa"/>
              <w:bottom w:w="28" w:type="dxa"/>
              <w:right w:w="28" w:type="dxa"/>
            </w:tcMar>
            <w:vAlign w:val="center"/>
            <w:hideMark/>
          </w:tcPr>
          <w:p w:rsidR="00D6295D" w:rsidRPr="008253DD" w:rsidRDefault="00D6295D" w:rsidP="00283F03">
            <w:pPr>
              <w:jc w:val="center"/>
              <w:rPr>
                <w:rFonts w:eastAsia="Times New Roman"/>
                <w:i/>
                <w:iCs/>
                <w:sz w:val="16"/>
                <w:szCs w:val="24"/>
              </w:rPr>
            </w:pPr>
            <w:r w:rsidRPr="008253DD">
              <w:rPr>
                <w:rFonts w:eastAsia="Times New Roman"/>
                <w:i/>
                <w:iCs/>
                <w:sz w:val="16"/>
              </w:rPr>
              <w:t>rules</w:t>
            </w:r>
          </w:p>
        </w:tc>
        <w:tc>
          <w:tcPr>
            <w:tcW w:w="992" w:type="dxa"/>
            <w:tcBorders>
              <w:top w:val="double" w:sz="6" w:space="0" w:color="auto"/>
              <w:bottom w:val="single" w:sz="6" w:space="0" w:color="000000"/>
            </w:tcBorders>
            <w:tcMar>
              <w:top w:w="28" w:type="dxa"/>
              <w:left w:w="28" w:type="dxa"/>
              <w:bottom w:w="28" w:type="dxa"/>
              <w:right w:w="28" w:type="dxa"/>
            </w:tcMar>
            <w:vAlign w:val="center"/>
            <w:hideMark/>
          </w:tcPr>
          <w:p w:rsidR="00D6295D" w:rsidRPr="008253DD" w:rsidRDefault="00D6295D" w:rsidP="00283F03">
            <w:pPr>
              <w:jc w:val="center"/>
              <w:rPr>
                <w:rFonts w:eastAsia="Times New Roman"/>
                <w:i/>
                <w:iCs/>
                <w:sz w:val="16"/>
              </w:rPr>
            </w:pPr>
            <w:proofErr w:type="spellStart"/>
            <w:r w:rsidRPr="008253DD">
              <w:rPr>
                <w:rFonts w:eastAsia="Times New Roman"/>
                <w:i/>
                <w:iCs/>
                <w:sz w:val="16"/>
              </w:rPr>
              <w:t>support</w:t>
            </w:r>
            <w:proofErr w:type="spellEnd"/>
          </w:p>
        </w:tc>
        <w:tc>
          <w:tcPr>
            <w:tcW w:w="1134" w:type="dxa"/>
            <w:tcBorders>
              <w:top w:val="double" w:sz="6" w:space="0" w:color="auto"/>
              <w:bottom w:val="single" w:sz="6" w:space="0" w:color="000000"/>
            </w:tcBorders>
            <w:tcMar>
              <w:top w:w="28" w:type="dxa"/>
              <w:left w:w="28" w:type="dxa"/>
              <w:bottom w:w="28" w:type="dxa"/>
              <w:right w:w="28" w:type="dxa"/>
            </w:tcMar>
            <w:vAlign w:val="center"/>
            <w:hideMark/>
          </w:tcPr>
          <w:p w:rsidR="00D6295D" w:rsidRPr="008253DD" w:rsidRDefault="00D6295D" w:rsidP="00283F03">
            <w:pPr>
              <w:jc w:val="center"/>
              <w:rPr>
                <w:rFonts w:eastAsia="Times New Roman"/>
                <w:i/>
                <w:iCs/>
                <w:sz w:val="16"/>
              </w:rPr>
            </w:pPr>
            <w:proofErr w:type="spellStart"/>
            <w:r w:rsidRPr="008253DD">
              <w:rPr>
                <w:rFonts w:eastAsia="Times New Roman"/>
                <w:i/>
                <w:iCs/>
                <w:sz w:val="16"/>
              </w:rPr>
              <w:t>confidence</w:t>
            </w:r>
            <w:proofErr w:type="spellEnd"/>
          </w:p>
        </w:tc>
        <w:tc>
          <w:tcPr>
            <w:tcW w:w="770" w:type="dxa"/>
            <w:tcBorders>
              <w:top w:val="double" w:sz="6" w:space="0" w:color="auto"/>
              <w:bottom w:val="single" w:sz="6" w:space="0" w:color="000000"/>
            </w:tcBorders>
            <w:tcMar>
              <w:top w:w="28" w:type="dxa"/>
              <w:left w:w="28" w:type="dxa"/>
              <w:bottom w:w="28" w:type="dxa"/>
              <w:right w:w="28" w:type="dxa"/>
            </w:tcMar>
            <w:vAlign w:val="center"/>
            <w:hideMark/>
          </w:tcPr>
          <w:p w:rsidR="00D6295D" w:rsidRPr="008253DD" w:rsidRDefault="00D6295D" w:rsidP="00283F03">
            <w:pPr>
              <w:jc w:val="center"/>
              <w:rPr>
                <w:rFonts w:eastAsia="Times New Roman"/>
                <w:i/>
                <w:iCs/>
                <w:sz w:val="16"/>
              </w:rPr>
            </w:pPr>
            <w:r w:rsidRPr="008253DD">
              <w:rPr>
                <w:rFonts w:eastAsia="Times New Roman"/>
                <w:i/>
                <w:iCs/>
                <w:sz w:val="16"/>
              </w:rPr>
              <w:t>lift</w:t>
            </w:r>
          </w:p>
        </w:tc>
        <w:tc>
          <w:tcPr>
            <w:tcW w:w="1084" w:type="dxa"/>
            <w:tcBorders>
              <w:top w:val="double" w:sz="6" w:space="0" w:color="auto"/>
              <w:bottom w:val="single" w:sz="6" w:space="0" w:color="000000"/>
            </w:tcBorders>
            <w:tcMar>
              <w:top w:w="28" w:type="dxa"/>
              <w:left w:w="28" w:type="dxa"/>
              <w:bottom w:w="28" w:type="dxa"/>
              <w:right w:w="28" w:type="dxa"/>
            </w:tcMar>
            <w:vAlign w:val="center"/>
            <w:hideMark/>
          </w:tcPr>
          <w:p w:rsidR="00D6295D" w:rsidRPr="008253DD" w:rsidRDefault="00D6295D" w:rsidP="00283F03">
            <w:pPr>
              <w:jc w:val="center"/>
              <w:rPr>
                <w:rFonts w:eastAsia="Times New Roman"/>
                <w:i/>
                <w:iCs/>
                <w:sz w:val="16"/>
              </w:rPr>
            </w:pPr>
            <w:proofErr w:type="spellStart"/>
            <w:r w:rsidRPr="008253DD">
              <w:rPr>
                <w:rFonts w:eastAsia="Times New Roman"/>
                <w:i/>
                <w:iCs/>
                <w:sz w:val="16"/>
              </w:rPr>
              <w:t>count</w:t>
            </w:r>
            <w:proofErr w:type="spellEnd"/>
          </w:p>
        </w:tc>
      </w:tr>
      <w:tr w:rsidR="000E65F1" w:rsidRPr="008253DD" w:rsidTr="00032A91">
        <w:trPr>
          <w:jc w:val="center"/>
        </w:trPr>
        <w:tc>
          <w:tcPr>
            <w:tcW w:w="3013"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w:t>
            </w:r>
            <w:proofErr w:type="spellStart"/>
            <w:r w:rsidRPr="008253DD">
              <w:rPr>
                <w:rFonts w:eastAsia="Times New Roman"/>
                <w:sz w:val="16"/>
              </w:rPr>
              <w:t>Type</w:t>
            </w:r>
            <w:proofErr w:type="spellEnd"/>
            <w:r w:rsidRPr="008253DD">
              <w:rPr>
                <w:rFonts w:eastAsia="Times New Roman"/>
                <w:sz w:val="16"/>
              </w:rPr>
              <w:t>=</w:t>
            </w:r>
            <w:proofErr w:type="spellStart"/>
            <w:r w:rsidRPr="008253DD">
              <w:rPr>
                <w:rFonts w:eastAsia="Times New Roman"/>
                <w:sz w:val="16"/>
              </w:rPr>
              <w:t>Unprovoked</w:t>
            </w:r>
            <w:proofErr w:type="spellEnd"/>
            <w:r w:rsidRPr="008253DD">
              <w:rPr>
                <w:rFonts w:eastAsia="Times New Roman"/>
                <w:sz w:val="16"/>
              </w:rPr>
              <w:t>} =&gt; {sexo=M}</w:t>
            </w:r>
          </w:p>
        </w:tc>
        <w:tc>
          <w:tcPr>
            <w:tcW w:w="992"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0.619</w:t>
            </w:r>
          </w:p>
        </w:tc>
        <w:tc>
          <w:tcPr>
            <w:tcW w:w="1134"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0.849</w:t>
            </w:r>
          </w:p>
        </w:tc>
        <w:tc>
          <w:tcPr>
            <w:tcW w:w="770"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1.052</w:t>
            </w:r>
          </w:p>
        </w:tc>
        <w:tc>
          <w:tcPr>
            <w:tcW w:w="1084"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3572</w:t>
            </w:r>
          </w:p>
        </w:tc>
      </w:tr>
      <w:tr w:rsidR="000E65F1" w:rsidRPr="008253DD" w:rsidTr="00032A91">
        <w:trPr>
          <w:jc w:val="center"/>
        </w:trPr>
        <w:tc>
          <w:tcPr>
            <w:tcW w:w="3013"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{sexo=M} =&gt; {</w:t>
            </w:r>
            <w:proofErr w:type="spellStart"/>
            <w:r w:rsidRPr="008253DD">
              <w:rPr>
                <w:rFonts w:eastAsia="Times New Roman"/>
                <w:sz w:val="16"/>
              </w:rPr>
              <w:t>Type</w:t>
            </w:r>
            <w:proofErr w:type="spellEnd"/>
            <w:r w:rsidRPr="008253DD">
              <w:rPr>
                <w:rFonts w:eastAsia="Times New Roman"/>
                <w:sz w:val="16"/>
              </w:rPr>
              <w:t>=</w:t>
            </w:r>
            <w:proofErr w:type="spellStart"/>
            <w:r w:rsidRPr="008253DD">
              <w:rPr>
                <w:rFonts w:eastAsia="Times New Roman"/>
                <w:sz w:val="16"/>
              </w:rPr>
              <w:t>Unprovoked</w:t>
            </w:r>
            <w:proofErr w:type="spellEnd"/>
            <w:r w:rsidRPr="008253DD">
              <w:rPr>
                <w:rFonts w:eastAsia="Times New Roman"/>
                <w:sz w:val="16"/>
              </w:rPr>
              <w:t>}</w:t>
            </w:r>
          </w:p>
        </w:tc>
        <w:tc>
          <w:tcPr>
            <w:tcW w:w="992"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0.619</w:t>
            </w:r>
          </w:p>
        </w:tc>
        <w:tc>
          <w:tcPr>
            <w:tcW w:w="1134"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0.767</w:t>
            </w:r>
          </w:p>
        </w:tc>
        <w:tc>
          <w:tcPr>
            <w:tcW w:w="770"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1.052</w:t>
            </w:r>
          </w:p>
        </w:tc>
        <w:tc>
          <w:tcPr>
            <w:tcW w:w="1084"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3572</w:t>
            </w:r>
          </w:p>
        </w:tc>
      </w:tr>
      <w:tr w:rsidR="000E65F1" w:rsidRPr="008253DD" w:rsidTr="00032A91">
        <w:trPr>
          <w:jc w:val="center"/>
        </w:trPr>
        <w:tc>
          <w:tcPr>
            <w:tcW w:w="3013"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{fatal=no} =&gt; {sexo=M}</w:t>
            </w:r>
          </w:p>
        </w:tc>
        <w:tc>
          <w:tcPr>
            <w:tcW w:w="992"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0.584</w:t>
            </w:r>
          </w:p>
        </w:tc>
        <w:tc>
          <w:tcPr>
            <w:tcW w:w="1134"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0.808</w:t>
            </w:r>
          </w:p>
        </w:tc>
        <w:tc>
          <w:tcPr>
            <w:tcW w:w="770"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1.001</w:t>
            </w:r>
          </w:p>
        </w:tc>
        <w:tc>
          <w:tcPr>
            <w:tcW w:w="1084"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3373</w:t>
            </w:r>
          </w:p>
        </w:tc>
      </w:tr>
      <w:tr w:rsidR="000E65F1" w:rsidRPr="008253DD" w:rsidTr="00032A91">
        <w:trPr>
          <w:jc w:val="center"/>
        </w:trPr>
        <w:tc>
          <w:tcPr>
            <w:tcW w:w="3013"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{sexo=M} =&gt; {fatal=no}</w:t>
            </w:r>
          </w:p>
        </w:tc>
        <w:tc>
          <w:tcPr>
            <w:tcW w:w="992"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0.584</w:t>
            </w:r>
          </w:p>
        </w:tc>
        <w:tc>
          <w:tcPr>
            <w:tcW w:w="1134"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0.724</w:t>
            </w:r>
          </w:p>
        </w:tc>
        <w:tc>
          <w:tcPr>
            <w:tcW w:w="770"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1.001</w:t>
            </w:r>
          </w:p>
        </w:tc>
        <w:tc>
          <w:tcPr>
            <w:tcW w:w="1084"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3373</w:t>
            </w:r>
          </w:p>
        </w:tc>
      </w:tr>
      <w:tr w:rsidR="000E65F1" w:rsidRPr="008253DD" w:rsidTr="00032A91">
        <w:trPr>
          <w:jc w:val="center"/>
        </w:trPr>
        <w:tc>
          <w:tcPr>
            <w:tcW w:w="3013"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{fatal=no} =&gt; {</w:t>
            </w:r>
            <w:proofErr w:type="spellStart"/>
            <w:r w:rsidRPr="008253DD">
              <w:rPr>
                <w:rFonts w:eastAsia="Times New Roman"/>
                <w:sz w:val="16"/>
              </w:rPr>
              <w:t>Type</w:t>
            </w:r>
            <w:proofErr w:type="spellEnd"/>
            <w:r w:rsidRPr="008253DD">
              <w:rPr>
                <w:rFonts w:eastAsia="Times New Roman"/>
                <w:sz w:val="16"/>
              </w:rPr>
              <w:t>=</w:t>
            </w:r>
            <w:proofErr w:type="spellStart"/>
            <w:r w:rsidRPr="008253DD">
              <w:rPr>
                <w:rFonts w:eastAsia="Times New Roman"/>
                <w:sz w:val="16"/>
              </w:rPr>
              <w:t>Unprovoked</w:t>
            </w:r>
            <w:proofErr w:type="spellEnd"/>
            <w:r w:rsidRPr="008253DD">
              <w:rPr>
                <w:rFonts w:eastAsia="Times New Roman"/>
                <w:sz w:val="16"/>
              </w:rPr>
              <w:t>}</w:t>
            </w:r>
          </w:p>
        </w:tc>
        <w:tc>
          <w:tcPr>
            <w:tcW w:w="992"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0.534</w:t>
            </w:r>
          </w:p>
        </w:tc>
        <w:tc>
          <w:tcPr>
            <w:tcW w:w="1134"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0.738</w:t>
            </w:r>
          </w:p>
        </w:tc>
        <w:tc>
          <w:tcPr>
            <w:tcW w:w="770"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1.013</w:t>
            </w:r>
          </w:p>
        </w:tc>
        <w:tc>
          <w:tcPr>
            <w:tcW w:w="1084"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3080</w:t>
            </w:r>
          </w:p>
        </w:tc>
      </w:tr>
      <w:tr w:rsidR="000E65F1" w:rsidRPr="008253DD" w:rsidTr="00032A91">
        <w:trPr>
          <w:jc w:val="center"/>
        </w:trPr>
        <w:tc>
          <w:tcPr>
            <w:tcW w:w="3013"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w:t>
            </w:r>
            <w:proofErr w:type="spellStart"/>
            <w:r w:rsidRPr="008253DD">
              <w:rPr>
                <w:rFonts w:eastAsia="Times New Roman"/>
                <w:sz w:val="16"/>
              </w:rPr>
              <w:t>Type</w:t>
            </w:r>
            <w:proofErr w:type="spellEnd"/>
            <w:r w:rsidRPr="008253DD">
              <w:rPr>
                <w:rFonts w:eastAsia="Times New Roman"/>
                <w:sz w:val="16"/>
              </w:rPr>
              <w:t>=</w:t>
            </w:r>
            <w:proofErr w:type="spellStart"/>
            <w:r w:rsidRPr="008253DD">
              <w:rPr>
                <w:rFonts w:eastAsia="Times New Roman"/>
                <w:sz w:val="16"/>
              </w:rPr>
              <w:t>Unprovoked</w:t>
            </w:r>
            <w:proofErr w:type="spellEnd"/>
            <w:r w:rsidRPr="008253DD">
              <w:rPr>
                <w:rFonts w:eastAsia="Times New Roman"/>
                <w:sz w:val="16"/>
              </w:rPr>
              <w:t>} =&gt; {fatal=no}</w:t>
            </w:r>
          </w:p>
        </w:tc>
        <w:tc>
          <w:tcPr>
            <w:tcW w:w="992"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0.534</w:t>
            </w:r>
          </w:p>
        </w:tc>
        <w:tc>
          <w:tcPr>
            <w:tcW w:w="1134"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0.732</w:t>
            </w:r>
          </w:p>
        </w:tc>
        <w:tc>
          <w:tcPr>
            <w:tcW w:w="770"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1.013</w:t>
            </w:r>
          </w:p>
        </w:tc>
        <w:tc>
          <w:tcPr>
            <w:tcW w:w="1084"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3080</w:t>
            </w:r>
          </w:p>
        </w:tc>
      </w:tr>
      <w:tr w:rsidR="000E65F1" w:rsidRPr="008253DD" w:rsidTr="00032A91">
        <w:trPr>
          <w:jc w:val="center"/>
        </w:trPr>
        <w:tc>
          <w:tcPr>
            <w:tcW w:w="3013" w:type="dxa"/>
            <w:tcMar>
              <w:top w:w="28" w:type="dxa"/>
              <w:left w:w="28" w:type="dxa"/>
              <w:bottom w:w="28" w:type="dxa"/>
              <w:right w:w="28" w:type="dxa"/>
            </w:tcMar>
            <w:hideMark/>
          </w:tcPr>
          <w:p w:rsidR="00D6295D" w:rsidRPr="008253DD" w:rsidRDefault="00D6295D" w:rsidP="00283F03">
            <w:pPr>
              <w:jc w:val="center"/>
              <w:rPr>
                <w:rFonts w:eastAsia="Times New Roman"/>
                <w:sz w:val="16"/>
                <w:lang w:val="en-US"/>
              </w:rPr>
            </w:pPr>
            <w:r w:rsidRPr="008253DD">
              <w:rPr>
                <w:rFonts w:eastAsia="Times New Roman"/>
                <w:sz w:val="16"/>
                <w:lang w:val="en-US"/>
              </w:rPr>
              <w:t>{</w:t>
            </w:r>
            <w:proofErr w:type="spellStart"/>
            <w:r w:rsidRPr="008253DD">
              <w:rPr>
                <w:rFonts w:eastAsia="Times New Roman"/>
                <w:sz w:val="16"/>
                <w:lang w:val="en-US"/>
              </w:rPr>
              <w:t>sexo</w:t>
            </w:r>
            <w:proofErr w:type="spellEnd"/>
            <w:r w:rsidRPr="008253DD">
              <w:rPr>
                <w:rFonts w:eastAsia="Times New Roman"/>
                <w:sz w:val="16"/>
                <w:lang w:val="en-US"/>
              </w:rPr>
              <w:t>=</w:t>
            </w:r>
            <w:proofErr w:type="spellStart"/>
            <w:proofErr w:type="gramStart"/>
            <w:r w:rsidRPr="008253DD">
              <w:rPr>
                <w:rFonts w:eastAsia="Times New Roman"/>
                <w:sz w:val="16"/>
                <w:lang w:val="en-US"/>
              </w:rPr>
              <w:t>M,fatal</w:t>
            </w:r>
            <w:proofErr w:type="spellEnd"/>
            <w:proofErr w:type="gramEnd"/>
            <w:r w:rsidRPr="008253DD">
              <w:rPr>
                <w:rFonts w:eastAsia="Times New Roman"/>
                <w:sz w:val="16"/>
                <w:lang w:val="en-US"/>
              </w:rPr>
              <w:t>=no} =&gt; {Type=Unprovoked}</w:t>
            </w:r>
          </w:p>
        </w:tc>
        <w:tc>
          <w:tcPr>
            <w:tcW w:w="992"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0.453</w:t>
            </w:r>
          </w:p>
        </w:tc>
        <w:tc>
          <w:tcPr>
            <w:tcW w:w="1134"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0.775</w:t>
            </w:r>
          </w:p>
        </w:tc>
        <w:tc>
          <w:tcPr>
            <w:tcW w:w="770"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1.063</w:t>
            </w:r>
          </w:p>
        </w:tc>
        <w:tc>
          <w:tcPr>
            <w:tcW w:w="1084"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2613</w:t>
            </w:r>
          </w:p>
        </w:tc>
      </w:tr>
      <w:tr w:rsidR="000E65F1" w:rsidRPr="008253DD" w:rsidTr="00032A91">
        <w:trPr>
          <w:jc w:val="center"/>
        </w:trPr>
        <w:tc>
          <w:tcPr>
            <w:tcW w:w="3013"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{edad=</w:t>
            </w:r>
            <w:proofErr w:type="spellStart"/>
            <w:r w:rsidRPr="008253DD">
              <w:rPr>
                <w:rFonts w:eastAsia="Times New Roman"/>
                <w:sz w:val="16"/>
              </w:rPr>
              <w:t>Adult</w:t>
            </w:r>
            <w:proofErr w:type="spellEnd"/>
            <w:r w:rsidRPr="008253DD">
              <w:rPr>
                <w:rFonts w:eastAsia="Times New Roman"/>
                <w:sz w:val="16"/>
              </w:rPr>
              <w:t>} =&gt; {sexo=M}</w:t>
            </w:r>
          </w:p>
        </w:tc>
        <w:tc>
          <w:tcPr>
            <w:tcW w:w="992"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0.369</w:t>
            </w:r>
          </w:p>
        </w:tc>
        <w:tc>
          <w:tcPr>
            <w:tcW w:w="1134"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0.892</w:t>
            </w:r>
          </w:p>
        </w:tc>
        <w:tc>
          <w:tcPr>
            <w:tcW w:w="770"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1.105</w:t>
            </w:r>
          </w:p>
        </w:tc>
        <w:tc>
          <w:tcPr>
            <w:tcW w:w="1084"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2128</w:t>
            </w:r>
          </w:p>
        </w:tc>
      </w:tr>
      <w:tr w:rsidR="000E65F1" w:rsidRPr="008253DD" w:rsidTr="00032A91">
        <w:trPr>
          <w:jc w:val="center"/>
        </w:trPr>
        <w:tc>
          <w:tcPr>
            <w:tcW w:w="3013"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lastRenderedPageBreak/>
              <w:t>{sexo=M} =&gt; {edad=</w:t>
            </w:r>
            <w:proofErr w:type="spellStart"/>
            <w:r w:rsidRPr="008253DD">
              <w:rPr>
                <w:rFonts w:eastAsia="Times New Roman"/>
                <w:sz w:val="16"/>
              </w:rPr>
              <w:t>Adult</w:t>
            </w:r>
            <w:proofErr w:type="spellEnd"/>
            <w:r w:rsidRPr="008253DD">
              <w:rPr>
                <w:rFonts w:eastAsia="Times New Roman"/>
                <w:sz w:val="16"/>
              </w:rPr>
              <w:t>}</w:t>
            </w:r>
          </w:p>
        </w:tc>
        <w:tc>
          <w:tcPr>
            <w:tcW w:w="992"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0.369</w:t>
            </w:r>
          </w:p>
        </w:tc>
        <w:tc>
          <w:tcPr>
            <w:tcW w:w="1134"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0.457</w:t>
            </w:r>
          </w:p>
        </w:tc>
        <w:tc>
          <w:tcPr>
            <w:tcW w:w="770"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1.105</w:t>
            </w:r>
          </w:p>
        </w:tc>
        <w:tc>
          <w:tcPr>
            <w:tcW w:w="1084" w:type="dxa"/>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2128</w:t>
            </w:r>
          </w:p>
        </w:tc>
      </w:tr>
      <w:tr w:rsidR="000E65F1" w:rsidRPr="008253DD" w:rsidTr="00032A91">
        <w:trPr>
          <w:jc w:val="center"/>
        </w:trPr>
        <w:tc>
          <w:tcPr>
            <w:tcW w:w="3013" w:type="dxa"/>
            <w:tcBorders>
              <w:bottom w:val="double" w:sz="6" w:space="0" w:color="auto"/>
            </w:tcBorders>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{edad=</w:t>
            </w:r>
            <w:proofErr w:type="spellStart"/>
            <w:r w:rsidRPr="008253DD">
              <w:rPr>
                <w:rFonts w:eastAsia="Times New Roman"/>
                <w:sz w:val="16"/>
              </w:rPr>
              <w:t>Adult</w:t>
            </w:r>
            <w:proofErr w:type="spellEnd"/>
            <w:r w:rsidRPr="008253DD">
              <w:rPr>
                <w:rFonts w:eastAsia="Times New Roman"/>
                <w:sz w:val="16"/>
              </w:rPr>
              <w:t>} =&gt; {</w:t>
            </w:r>
            <w:proofErr w:type="spellStart"/>
            <w:r w:rsidRPr="008253DD">
              <w:rPr>
                <w:rFonts w:eastAsia="Times New Roman"/>
                <w:sz w:val="16"/>
              </w:rPr>
              <w:t>Type</w:t>
            </w:r>
            <w:proofErr w:type="spellEnd"/>
            <w:r w:rsidRPr="008253DD">
              <w:rPr>
                <w:rFonts w:eastAsia="Times New Roman"/>
                <w:sz w:val="16"/>
              </w:rPr>
              <w:t>=</w:t>
            </w:r>
            <w:proofErr w:type="spellStart"/>
            <w:r w:rsidRPr="008253DD">
              <w:rPr>
                <w:rFonts w:eastAsia="Times New Roman"/>
                <w:sz w:val="16"/>
              </w:rPr>
              <w:t>Unprovoked</w:t>
            </w:r>
            <w:proofErr w:type="spellEnd"/>
            <w:r w:rsidRPr="008253DD">
              <w:rPr>
                <w:rFonts w:eastAsia="Times New Roman"/>
                <w:sz w:val="16"/>
              </w:rPr>
              <w:t>}</w:t>
            </w:r>
          </w:p>
        </w:tc>
        <w:tc>
          <w:tcPr>
            <w:tcW w:w="992" w:type="dxa"/>
            <w:tcBorders>
              <w:bottom w:val="double" w:sz="6" w:space="0" w:color="auto"/>
            </w:tcBorders>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0.341</w:t>
            </w:r>
          </w:p>
        </w:tc>
        <w:tc>
          <w:tcPr>
            <w:tcW w:w="1134" w:type="dxa"/>
            <w:tcBorders>
              <w:bottom w:val="double" w:sz="6" w:space="0" w:color="auto"/>
            </w:tcBorders>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0.825</w:t>
            </w:r>
          </w:p>
        </w:tc>
        <w:tc>
          <w:tcPr>
            <w:tcW w:w="770" w:type="dxa"/>
            <w:tcBorders>
              <w:bottom w:val="double" w:sz="6" w:space="0" w:color="auto"/>
            </w:tcBorders>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1.132</w:t>
            </w:r>
          </w:p>
        </w:tc>
        <w:tc>
          <w:tcPr>
            <w:tcW w:w="1084" w:type="dxa"/>
            <w:tcBorders>
              <w:bottom w:val="double" w:sz="6" w:space="0" w:color="auto"/>
            </w:tcBorders>
            <w:tcMar>
              <w:top w:w="28" w:type="dxa"/>
              <w:left w:w="28" w:type="dxa"/>
              <w:bottom w:w="28" w:type="dxa"/>
              <w:right w:w="28" w:type="dxa"/>
            </w:tcMar>
            <w:hideMark/>
          </w:tcPr>
          <w:p w:rsidR="00D6295D" w:rsidRPr="008253DD" w:rsidRDefault="00D6295D" w:rsidP="00283F03">
            <w:pPr>
              <w:jc w:val="center"/>
              <w:rPr>
                <w:rFonts w:eastAsia="Times New Roman"/>
                <w:sz w:val="16"/>
              </w:rPr>
            </w:pPr>
            <w:r w:rsidRPr="008253DD">
              <w:rPr>
                <w:rFonts w:eastAsia="Times New Roman"/>
                <w:sz w:val="16"/>
              </w:rPr>
              <w:t>1968</w:t>
            </w:r>
          </w:p>
        </w:tc>
      </w:tr>
    </w:tbl>
    <w:p w:rsidR="00D6295D" w:rsidRDefault="00D6295D">
      <w:pPr>
        <w:spacing w:line="288" w:lineRule="auto"/>
        <w:jc w:val="center"/>
        <w:rPr>
          <w:b/>
        </w:rPr>
      </w:pPr>
    </w:p>
    <w:p w:rsidR="003C5B36" w:rsidRDefault="00283F03" w:rsidP="000E65F1">
      <w:pPr>
        <w:spacing w:line="288" w:lineRule="auto"/>
        <w:jc w:val="center"/>
        <w:rPr>
          <w:b/>
        </w:rPr>
      </w:pPr>
      <w:r>
        <w:rPr>
          <w:b/>
        </w:rPr>
        <w:t>Cuadro 4. Diez reglas con mayor lift (configuración A)</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3147"/>
        <w:gridCol w:w="963"/>
        <w:gridCol w:w="1080"/>
        <w:gridCol w:w="793"/>
        <w:gridCol w:w="989"/>
      </w:tblGrid>
      <w:tr w:rsidR="00032A91" w:rsidRPr="008253DD" w:rsidTr="008253DD">
        <w:tc>
          <w:tcPr>
            <w:tcW w:w="3147" w:type="dxa"/>
            <w:tcBorders>
              <w:top w:val="double" w:sz="6" w:space="0" w:color="auto"/>
              <w:bottom w:val="single" w:sz="6" w:space="0" w:color="000000"/>
            </w:tcBorders>
            <w:tcMar>
              <w:top w:w="28" w:type="dxa"/>
              <w:left w:w="28" w:type="dxa"/>
              <w:bottom w:w="28" w:type="dxa"/>
              <w:right w:w="28" w:type="dxa"/>
            </w:tcMar>
            <w:vAlign w:val="center"/>
            <w:hideMark/>
          </w:tcPr>
          <w:p w:rsidR="00032A91" w:rsidRPr="008253DD" w:rsidRDefault="00032A91" w:rsidP="00283F03">
            <w:pPr>
              <w:jc w:val="center"/>
              <w:rPr>
                <w:rFonts w:eastAsia="Times New Roman"/>
                <w:i/>
                <w:iCs/>
                <w:sz w:val="16"/>
                <w:szCs w:val="24"/>
              </w:rPr>
            </w:pPr>
            <w:r w:rsidRPr="008253DD">
              <w:rPr>
                <w:rFonts w:eastAsia="Times New Roman"/>
                <w:i/>
                <w:iCs/>
                <w:sz w:val="16"/>
              </w:rPr>
              <w:t>rules</w:t>
            </w:r>
          </w:p>
        </w:tc>
        <w:tc>
          <w:tcPr>
            <w:tcW w:w="963" w:type="dxa"/>
            <w:tcBorders>
              <w:top w:val="double" w:sz="6" w:space="0" w:color="auto"/>
              <w:bottom w:val="single" w:sz="6" w:space="0" w:color="000000"/>
            </w:tcBorders>
            <w:tcMar>
              <w:top w:w="28" w:type="dxa"/>
              <w:left w:w="28" w:type="dxa"/>
              <w:bottom w:w="28" w:type="dxa"/>
              <w:right w:w="28" w:type="dxa"/>
            </w:tcMar>
            <w:vAlign w:val="center"/>
            <w:hideMark/>
          </w:tcPr>
          <w:p w:rsidR="00032A91" w:rsidRPr="008253DD" w:rsidRDefault="00032A91" w:rsidP="00283F03">
            <w:pPr>
              <w:jc w:val="center"/>
              <w:rPr>
                <w:rFonts w:eastAsia="Times New Roman"/>
                <w:i/>
                <w:iCs/>
                <w:sz w:val="16"/>
              </w:rPr>
            </w:pPr>
            <w:proofErr w:type="spellStart"/>
            <w:r w:rsidRPr="008253DD">
              <w:rPr>
                <w:rFonts w:eastAsia="Times New Roman"/>
                <w:i/>
                <w:iCs/>
                <w:sz w:val="16"/>
              </w:rPr>
              <w:t>support</w:t>
            </w:r>
            <w:proofErr w:type="spellEnd"/>
          </w:p>
        </w:tc>
        <w:tc>
          <w:tcPr>
            <w:tcW w:w="1080" w:type="dxa"/>
            <w:tcBorders>
              <w:top w:val="double" w:sz="6" w:space="0" w:color="auto"/>
              <w:bottom w:val="single" w:sz="6" w:space="0" w:color="000000"/>
            </w:tcBorders>
            <w:tcMar>
              <w:top w:w="28" w:type="dxa"/>
              <w:left w:w="28" w:type="dxa"/>
              <w:bottom w:w="28" w:type="dxa"/>
              <w:right w:w="28" w:type="dxa"/>
            </w:tcMar>
            <w:vAlign w:val="center"/>
            <w:hideMark/>
          </w:tcPr>
          <w:p w:rsidR="00032A91" w:rsidRPr="008253DD" w:rsidRDefault="00032A91" w:rsidP="00283F03">
            <w:pPr>
              <w:jc w:val="center"/>
              <w:rPr>
                <w:rFonts w:eastAsia="Times New Roman"/>
                <w:i/>
                <w:iCs/>
                <w:sz w:val="16"/>
              </w:rPr>
            </w:pPr>
            <w:proofErr w:type="spellStart"/>
            <w:r w:rsidRPr="008253DD">
              <w:rPr>
                <w:rFonts w:eastAsia="Times New Roman"/>
                <w:i/>
                <w:iCs/>
                <w:sz w:val="16"/>
              </w:rPr>
              <w:t>confidence</w:t>
            </w:r>
            <w:proofErr w:type="spellEnd"/>
          </w:p>
        </w:tc>
        <w:tc>
          <w:tcPr>
            <w:tcW w:w="793" w:type="dxa"/>
            <w:tcBorders>
              <w:top w:val="double" w:sz="6" w:space="0" w:color="auto"/>
              <w:bottom w:val="single" w:sz="6" w:space="0" w:color="000000"/>
            </w:tcBorders>
            <w:tcMar>
              <w:top w:w="28" w:type="dxa"/>
              <w:left w:w="28" w:type="dxa"/>
              <w:bottom w:w="28" w:type="dxa"/>
              <w:right w:w="28" w:type="dxa"/>
            </w:tcMar>
            <w:vAlign w:val="center"/>
            <w:hideMark/>
          </w:tcPr>
          <w:p w:rsidR="00032A91" w:rsidRPr="008253DD" w:rsidRDefault="00032A91" w:rsidP="00283F03">
            <w:pPr>
              <w:jc w:val="center"/>
              <w:rPr>
                <w:rFonts w:eastAsia="Times New Roman"/>
                <w:i/>
                <w:iCs/>
                <w:sz w:val="16"/>
              </w:rPr>
            </w:pPr>
            <w:r w:rsidRPr="008253DD">
              <w:rPr>
                <w:rFonts w:eastAsia="Times New Roman"/>
                <w:i/>
                <w:iCs/>
                <w:sz w:val="16"/>
              </w:rPr>
              <w:t>lift</w:t>
            </w:r>
          </w:p>
        </w:tc>
        <w:tc>
          <w:tcPr>
            <w:tcW w:w="989" w:type="dxa"/>
            <w:tcBorders>
              <w:top w:val="double" w:sz="6" w:space="0" w:color="auto"/>
              <w:bottom w:val="single" w:sz="6" w:space="0" w:color="000000"/>
            </w:tcBorders>
            <w:tcMar>
              <w:top w:w="28" w:type="dxa"/>
              <w:left w:w="28" w:type="dxa"/>
              <w:bottom w:w="28" w:type="dxa"/>
              <w:right w:w="28" w:type="dxa"/>
            </w:tcMar>
            <w:vAlign w:val="center"/>
            <w:hideMark/>
          </w:tcPr>
          <w:p w:rsidR="00032A91" w:rsidRPr="008253DD" w:rsidRDefault="00032A91" w:rsidP="00283F03">
            <w:pPr>
              <w:jc w:val="center"/>
              <w:rPr>
                <w:rFonts w:eastAsia="Times New Roman"/>
                <w:i/>
                <w:iCs/>
                <w:sz w:val="16"/>
              </w:rPr>
            </w:pPr>
            <w:proofErr w:type="spellStart"/>
            <w:r w:rsidRPr="008253DD">
              <w:rPr>
                <w:rFonts w:eastAsia="Times New Roman"/>
                <w:i/>
                <w:iCs/>
                <w:sz w:val="16"/>
              </w:rPr>
              <w:t>count</w:t>
            </w:r>
            <w:proofErr w:type="spellEnd"/>
          </w:p>
        </w:tc>
      </w:tr>
      <w:tr w:rsidR="00032A91" w:rsidRPr="008253DD" w:rsidTr="008253DD">
        <w:tc>
          <w:tcPr>
            <w:tcW w:w="3147" w:type="dxa"/>
            <w:tcMar>
              <w:top w:w="28" w:type="dxa"/>
              <w:left w:w="28" w:type="dxa"/>
              <w:bottom w:w="28" w:type="dxa"/>
              <w:right w:w="28" w:type="dxa"/>
            </w:tcMar>
            <w:hideMark/>
          </w:tcPr>
          <w:p w:rsidR="00032A91" w:rsidRPr="008253DD" w:rsidRDefault="00032A91" w:rsidP="00283F03">
            <w:pPr>
              <w:jc w:val="center"/>
              <w:rPr>
                <w:rFonts w:eastAsia="Times New Roman"/>
                <w:sz w:val="16"/>
                <w:lang w:val="en-US"/>
              </w:rPr>
            </w:pPr>
            <w:r w:rsidRPr="008253DD">
              <w:rPr>
                <w:rFonts w:eastAsia="Times New Roman"/>
                <w:sz w:val="16"/>
                <w:lang w:val="en-US"/>
              </w:rPr>
              <w:t>{</w:t>
            </w:r>
            <w:proofErr w:type="spellStart"/>
            <w:r w:rsidRPr="008253DD">
              <w:rPr>
                <w:rFonts w:eastAsia="Times New Roman"/>
                <w:sz w:val="16"/>
                <w:lang w:val="en-US"/>
              </w:rPr>
              <w:t>sexo</w:t>
            </w:r>
            <w:proofErr w:type="spellEnd"/>
            <w:r w:rsidRPr="008253DD">
              <w:rPr>
                <w:rFonts w:eastAsia="Times New Roman"/>
                <w:sz w:val="16"/>
                <w:lang w:val="en-US"/>
              </w:rPr>
              <w:t>=</w:t>
            </w:r>
            <w:proofErr w:type="spellStart"/>
            <w:proofErr w:type="gramStart"/>
            <w:r w:rsidRPr="008253DD">
              <w:rPr>
                <w:rFonts w:eastAsia="Times New Roman"/>
                <w:sz w:val="16"/>
                <w:lang w:val="en-US"/>
              </w:rPr>
              <w:t>M,edad</w:t>
            </w:r>
            <w:proofErr w:type="spellEnd"/>
            <w:proofErr w:type="gramEnd"/>
            <w:r w:rsidRPr="008253DD">
              <w:rPr>
                <w:rFonts w:eastAsia="Times New Roman"/>
                <w:sz w:val="16"/>
                <w:lang w:val="en-US"/>
              </w:rPr>
              <w:t>=</w:t>
            </w:r>
            <w:proofErr w:type="spellStart"/>
            <w:r w:rsidRPr="008253DD">
              <w:rPr>
                <w:rFonts w:eastAsia="Times New Roman"/>
                <w:sz w:val="16"/>
                <w:lang w:val="en-US"/>
              </w:rPr>
              <w:t>Adult,year_bins</w:t>
            </w:r>
            <w:proofErr w:type="spellEnd"/>
            <w:r w:rsidRPr="008253DD">
              <w:rPr>
                <w:rFonts w:eastAsia="Times New Roman"/>
                <w:sz w:val="16"/>
                <w:lang w:val="en-US"/>
              </w:rPr>
              <w:t>=[1980,1990)} =&gt; {region=SOUTH AFRICA}</w:t>
            </w:r>
          </w:p>
        </w:tc>
        <w:tc>
          <w:tcPr>
            <w:tcW w:w="963"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0.011</w:t>
            </w:r>
          </w:p>
        </w:tc>
        <w:tc>
          <w:tcPr>
            <w:tcW w:w="108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0.328</w:t>
            </w:r>
          </w:p>
        </w:tc>
        <w:tc>
          <w:tcPr>
            <w:tcW w:w="793"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3.412</w:t>
            </w:r>
          </w:p>
        </w:tc>
        <w:tc>
          <w:tcPr>
            <w:tcW w:w="989"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62</w:t>
            </w:r>
          </w:p>
        </w:tc>
      </w:tr>
      <w:tr w:rsidR="00032A91" w:rsidRPr="008253DD" w:rsidTr="008253DD">
        <w:tc>
          <w:tcPr>
            <w:tcW w:w="3147" w:type="dxa"/>
            <w:tcMar>
              <w:top w:w="28" w:type="dxa"/>
              <w:left w:w="28" w:type="dxa"/>
              <w:bottom w:w="28" w:type="dxa"/>
              <w:right w:w="28" w:type="dxa"/>
            </w:tcMar>
            <w:hideMark/>
          </w:tcPr>
          <w:p w:rsidR="00032A91" w:rsidRPr="008253DD" w:rsidRDefault="00032A91" w:rsidP="00283F03">
            <w:pPr>
              <w:jc w:val="center"/>
              <w:rPr>
                <w:rFonts w:eastAsia="Times New Roman"/>
                <w:sz w:val="16"/>
                <w:lang w:val="en-US"/>
              </w:rPr>
            </w:pPr>
            <w:r w:rsidRPr="008253DD">
              <w:rPr>
                <w:rFonts w:eastAsia="Times New Roman"/>
                <w:sz w:val="16"/>
                <w:lang w:val="en-US"/>
              </w:rPr>
              <w:t>{Type=Sea Disaster} =&gt; {region=other}</w:t>
            </w:r>
          </w:p>
        </w:tc>
        <w:tc>
          <w:tcPr>
            <w:tcW w:w="963"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0.013</w:t>
            </w:r>
          </w:p>
        </w:tc>
        <w:tc>
          <w:tcPr>
            <w:tcW w:w="108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0.36</w:t>
            </w:r>
          </w:p>
        </w:tc>
        <w:tc>
          <w:tcPr>
            <w:tcW w:w="793"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3.361</w:t>
            </w:r>
          </w:p>
        </w:tc>
        <w:tc>
          <w:tcPr>
            <w:tcW w:w="989"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77</w:t>
            </w:r>
          </w:p>
        </w:tc>
      </w:tr>
      <w:tr w:rsidR="00032A91" w:rsidRPr="008253DD" w:rsidTr="008253DD">
        <w:tc>
          <w:tcPr>
            <w:tcW w:w="3147" w:type="dxa"/>
            <w:tcMar>
              <w:top w:w="28" w:type="dxa"/>
              <w:left w:w="28" w:type="dxa"/>
              <w:bottom w:w="28" w:type="dxa"/>
              <w:right w:w="28" w:type="dxa"/>
            </w:tcMar>
            <w:hideMark/>
          </w:tcPr>
          <w:p w:rsidR="00032A91" w:rsidRPr="008253DD" w:rsidRDefault="00032A91" w:rsidP="00283F03">
            <w:pPr>
              <w:jc w:val="center"/>
              <w:rPr>
                <w:rFonts w:eastAsia="Times New Roman"/>
                <w:sz w:val="16"/>
                <w:lang w:val="en-US"/>
              </w:rPr>
            </w:pPr>
            <w:r w:rsidRPr="008253DD">
              <w:rPr>
                <w:rFonts w:eastAsia="Times New Roman"/>
                <w:sz w:val="16"/>
                <w:lang w:val="en-US"/>
              </w:rPr>
              <w:t>{Type=</w:t>
            </w:r>
            <w:proofErr w:type="spellStart"/>
            <w:proofErr w:type="gramStart"/>
            <w:r w:rsidRPr="008253DD">
              <w:rPr>
                <w:rFonts w:eastAsia="Times New Roman"/>
                <w:sz w:val="16"/>
                <w:lang w:val="en-US"/>
              </w:rPr>
              <w:t>Unprovoked,sexo</w:t>
            </w:r>
            <w:proofErr w:type="spellEnd"/>
            <w:proofErr w:type="gramEnd"/>
            <w:r w:rsidRPr="008253DD">
              <w:rPr>
                <w:rFonts w:eastAsia="Times New Roman"/>
                <w:sz w:val="16"/>
                <w:lang w:val="en-US"/>
              </w:rPr>
              <w:t>=</w:t>
            </w:r>
            <w:proofErr w:type="spellStart"/>
            <w:r w:rsidRPr="008253DD">
              <w:rPr>
                <w:rFonts w:eastAsia="Times New Roman"/>
                <w:sz w:val="16"/>
                <w:lang w:val="en-US"/>
              </w:rPr>
              <w:t>F,region</w:t>
            </w:r>
            <w:proofErr w:type="spellEnd"/>
            <w:r w:rsidRPr="008253DD">
              <w:rPr>
                <w:rFonts w:eastAsia="Times New Roman"/>
                <w:sz w:val="16"/>
                <w:lang w:val="en-US"/>
              </w:rPr>
              <w:t>=</w:t>
            </w:r>
            <w:proofErr w:type="spellStart"/>
            <w:r w:rsidRPr="008253DD">
              <w:rPr>
                <w:rFonts w:eastAsia="Times New Roman"/>
                <w:sz w:val="16"/>
                <w:lang w:val="en-US"/>
              </w:rPr>
              <w:t>USA,fatal</w:t>
            </w:r>
            <w:proofErr w:type="spellEnd"/>
            <w:r w:rsidRPr="008253DD">
              <w:rPr>
                <w:rFonts w:eastAsia="Times New Roman"/>
                <w:sz w:val="16"/>
                <w:lang w:val="en-US"/>
              </w:rPr>
              <w:t>=no} =&gt; {</w:t>
            </w:r>
            <w:proofErr w:type="spellStart"/>
            <w:r w:rsidRPr="008253DD">
              <w:rPr>
                <w:rFonts w:eastAsia="Times New Roman"/>
                <w:sz w:val="16"/>
                <w:lang w:val="en-US"/>
              </w:rPr>
              <w:t>edad</w:t>
            </w:r>
            <w:proofErr w:type="spellEnd"/>
            <w:r w:rsidRPr="008253DD">
              <w:rPr>
                <w:rFonts w:eastAsia="Times New Roman"/>
                <w:sz w:val="16"/>
                <w:lang w:val="en-US"/>
              </w:rPr>
              <w:t>=Young}</w:t>
            </w:r>
          </w:p>
        </w:tc>
        <w:tc>
          <w:tcPr>
            <w:tcW w:w="963"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0.014</w:t>
            </w:r>
          </w:p>
        </w:tc>
        <w:tc>
          <w:tcPr>
            <w:tcW w:w="108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0.347</w:t>
            </w:r>
          </w:p>
        </w:tc>
        <w:tc>
          <w:tcPr>
            <w:tcW w:w="793"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3.313</w:t>
            </w:r>
          </w:p>
        </w:tc>
        <w:tc>
          <w:tcPr>
            <w:tcW w:w="989"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83</w:t>
            </w:r>
          </w:p>
        </w:tc>
      </w:tr>
      <w:tr w:rsidR="00032A91" w:rsidRPr="008253DD" w:rsidTr="008253DD">
        <w:tc>
          <w:tcPr>
            <w:tcW w:w="3147" w:type="dxa"/>
            <w:tcMar>
              <w:top w:w="28" w:type="dxa"/>
              <w:left w:w="28" w:type="dxa"/>
              <w:bottom w:w="28" w:type="dxa"/>
              <w:right w:w="28" w:type="dxa"/>
            </w:tcMar>
            <w:hideMark/>
          </w:tcPr>
          <w:p w:rsidR="00032A91" w:rsidRPr="008253DD" w:rsidRDefault="00032A91" w:rsidP="00283F03">
            <w:pPr>
              <w:jc w:val="center"/>
              <w:rPr>
                <w:rFonts w:eastAsia="Times New Roman"/>
                <w:sz w:val="16"/>
                <w:lang w:val="en-US"/>
              </w:rPr>
            </w:pPr>
            <w:r w:rsidRPr="008253DD">
              <w:rPr>
                <w:rFonts w:eastAsia="Times New Roman"/>
                <w:sz w:val="16"/>
                <w:lang w:val="en-US"/>
              </w:rPr>
              <w:t>{Type=</w:t>
            </w:r>
            <w:proofErr w:type="spellStart"/>
            <w:proofErr w:type="gramStart"/>
            <w:r w:rsidRPr="008253DD">
              <w:rPr>
                <w:rFonts w:eastAsia="Times New Roman"/>
                <w:sz w:val="16"/>
                <w:lang w:val="en-US"/>
              </w:rPr>
              <w:t>Unprovoked,sexo</w:t>
            </w:r>
            <w:proofErr w:type="spellEnd"/>
            <w:proofErr w:type="gramEnd"/>
            <w:r w:rsidRPr="008253DD">
              <w:rPr>
                <w:rFonts w:eastAsia="Times New Roman"/>
                <w:sz w:val="16"/>
                <w:lang w:val="en-US"/>
              </w:rPr>
              <w:t>=</w:t>
            </w:r>
            <w:proofErr w:type="spellStart"/>
            <w:r w:rsidRPr="008253DD">
              <w:rPr>
                <w:rFonts w:eastAsia="Times New Roman"/>
                <w:sz w:val="16"/>
                <w:lang w:val="en-US"/>
              </w:rPr>
              <w:t>F,region</w:t>
            </w:r>
            <w:proofErr w:type="spellEnd"/>
            <w:r w:rsidRPr="008253DD">
              <w:rPr>
                <w:rFonts w:eastAsia="Times New Roman"/>
                <w:sz w:val="16"/>
                <w:lang w:val="en-US"/>
              </w:rPr>
              <w:t>=USA} =&gt; {</w:t>
            </w:r>
            <w:proofErr w:type="spellStart"/>
            <w:r w:rsidRPr="008253DD">
              <w:rPr>
                <w:rFonts w:eastAsia="Times New Roman"/>
                <w:sz w:val="16"/>
                <w:lang w:val="en-US"/>
              </w:rPr>
              <w:t>edad</w:t>
            </w:r>
            <w:proofErr w:type="spellEnd"/>
            <w:r w:rsidRPr="008253DD">
              <w:rPr>
                <w:rFonts w:eastAsia="Times New Roman"/>
                <w:sz w:val="16"/>
                <w:lang w:val="en-US"/>
              </w:rPr>
              <w:t>=Young}</w:t>
            </w:r>
          </w:p>
        </w:tc>
        <w:tc>
          <w:tcPr>
            <w:tcW w:w="963"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0.015</w:t>
            </w:r>
          </w:p>
        </w:tc>
        <w:tc>
          <w:tcPr>
            <w:tcW w:w="108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0.335</w:t>
            </w:r>
          </w:p>
        </w:tc>
        <w:tc>
          <w:tcPr>
            <w:tcW w:w="793"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3.193</w:t>
            </w:r>
          </w:p>
        </w:tc>
        <w:tc>
          <w:tcPr>
            <w:tcW w:w="989"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85</w:t>
            </w:r>
          </w:p>
        </w:tc>
      </w:tr>
      <w:tr w:rsidR="00032A91" w:rsidRPr="008253DD" w:rsidTr="008253DD">
        <w:tc>
          <w:tcPr>
            <w:tcW w:w="3147"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{sexo=</w:t>
            </w:r>
            <w:proofErr w:type="spellStart"/>
            <w:proofErr w:type="gramStart"/>
            <w:r w:rsidRPr="008253DD">
              <w:rPr>
                <w:rFonts w:eastAsia="Times New Roman"/>
                <w:sz w:val="16"/>
              </w:rPr>
              <w:t>F,region</w:t>
            </w:r>
            <w:proofErr w:type="spellEnd"/>
            <w:proofErr w:type="gramEnd"/>
            <w:r w:rsidRPr="008253DD">
              <w:rPr>
                <w:rFonts w:eastAsia="Times New Roman"/>
                <w:sz w:val="16"/>
              </w:rPr>
              <w:t>=</w:t>
            </w:r>
            <w:proofErr w:type="spellStart"/>
            <w:r w:rsidRPr="008253DD">
              <w:rPr>
                <w:rFonts w:eastAsia="Times New Roman"/>
                <w:sz w:val="16"/>
              </w:rPr>
              <w:t>USA,fatal</w:t>
            </w:r>
            <w:proofErr w:type="spellEnd"/>
            <w:r w:rsidRPr="008253DD">
              <w:rPr>
                <w:rFonts w:eastAsia="Times New Roman"/>
                <w:sz w:val="16"/>
              </w:rPr>
              <w:t>=no} =&gt; {edad=Young}</w:t>
            </w:r>
          </w:p>
        </w:tc>
        <w:tc>
          <w:tcPr>
            <w:tcW w:w="963"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0.015</w:t>
            </w:r>
          </w:p>
        </w:tc>
        <w:tc>
          <w:tcPr>
            <w:tcW w:w="108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0.33</w:t>
            </w:r>
          </w:p>
        </w:tc>
        <w:tc>
          <w:tcPr>
            <w:tcW w:w="793"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3.144</w:t>
            </w:r>
          </w:p>
        </w:tc>
        <w:tc>
          <w:tcPr>
            <w:tcW w:w="989"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88</w:t>
            </w:r>
          </w:p>
        </w:tc>
      </w:tr>
      <w:tr w:rsidR="00032A91" w:rsidRPr="008253DD" w:rsidTr="008253DD">
        <w:tc>
          <w:tcPr>
            <w:tcW w:w="3147"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{sexo=</w:t>
            </w:r>
            <w:proofErr w:type="spellStart"/>
            <w:proofErr w:type="gramStart"/>
            <w:r w:rsidRPr="008253DD">
              <w:rPr>
                <w:rFonts w:eastAsia="Times New Roman"/>
                <w:sz w:val="16"/>
              </w:rPr>
              <w:t>F,fatal</w:t>
            </w:r>
            <w:proofErr w:type="spellEnd"/>
            <w:proofErr w:type="gramEnd"/>
            <w:r w:rsidRPr="008253DD">
              <w:rPr>
                <w:rFonts w:eastAsia="Times New Roman"/>
                <w:sz w:val="16"/>
              </w:rPr>
              <w:t>=</w:t>
            </w:r>
            <w:proofErr w:type="spellStart"/>
            <w:r w:rsidRPr="008253DD">
              <w:rPr>
                <w:rFonts w:eastAsia="Times New Roman"/>
                <w:sz w:val="16"/>
              </w:rPr>
              <w:t>no,horario</w:t>
            </w:r>
            <w:proofErr w:type="spellEnd"/>
            <w:r w:rsidRPr="008253DD">
              <w:rPr>
                <w:rFonts w:eastAsia="Times New Roman"/>
                <w:sz w:val="16"/>
              </w:rPr>
              <w:t>=PM} =&gt; {edad=Young}</w:t>
            </w:r>
          </w:p>
        </w:tc>
        <w:tc>
          <w:tcPr>
            <w:tcW w:w="963"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0.012</w:t>
            </w:r>
          </w:p>
        </w:tc>
        <w:tc>
          <w:tcPr>
            <w:tcW w:w="108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0.325</w:t>
            </w:r>
          </w:p>
        </w:tc>
        <w:tc>
          <w:tcPr>
            <w:tcW w:w="793"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3.103</w:t>
            </w:r>
          </w:p>
        </w:tc>
        <w:tc>
          <w:tcPr>
            <w:tcW w:w="989"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67</w:t>
            </w:r>
          </w:p>
        </w:tc>
      </w:tr>
      <w:tr w:rsidR="00032A91" w:rsidRPr="008253DD" w:rsidTr="008253DD">
        <w:tc>
          <w:tcPr>
            <w:tcW w:w="3147" w:type="dxa"/>
            <w:tcMar>
              <w:top w:w="28" w:type="dxa"/>
              <w:left w:w="28" w:type="dxa"/>
              <w:bottom w:w="28" w:type="dxa"/>
              <w:right w:w="28" w:type="dxa"/>
            </w:tcMar>
            <w:hideMark/>
          </w:tcPr>
          <w:p w:rsidR="00032A91" w:rsidRPr="008253DD" w:rsidRDefault="00032A91" w:rsidP="00283F03">
            <w:pPr>
              <w:jc w:val="center"/>
              <w:rPr>
                <w:rFonts w:eastAsia="Times New Roman"/>
                <w:sz w:val="16"/>
                <w:lang w:val="en-US"/>
              </w:rPr>
            </w:pPr>
            <w:r w:rsidRPr="008253DD">
              <w:rPr>
                <w:rFonts w:eastAsia="Times New Roman"/>
                <w:sz w:val="16"/>
                <w:lang w:val="en-US"/>
              </w:rPr>
              <w:t>{</w:t>
            </w:r>
            <w:proofErr w:type="spellStart"/>
            <w:r w:rsidRPr="008253DD">
              <w:rPr>
                <w:rFonts w:eastAsia="Times New Roman"/>
                <w:sz w:val="16"/>
                <w:lang w:val="en-US"/>
              </w:rPr>
              <w:t>sexo</w:t>
            </w:r>
            <w:proofErr w:type="spellEnd"/>
            <w:r w:rsidRPr="008253DD">
              <w:rPr>
                <w:rFonts w:eastAsia="Times New Roman"/>
                <w:sz w:val="16"/>
                <w:lang w:val="en-US"/>
              </w:rPr>
              <w:t>=</w:t>
            </w:r>
            <w:proofErr w:type="spellStart"/>
            <w:proofErr w:type="gramStart"/>
            <w:r w:rsidRPr="008253DD">
              <w:rPr>
                <w:rFonts w:eastAsia="Times New Roman"/>
                <w:sz w:val="16"/>
                <w:lang w:val="en-US"/>
              </w:rPr>
              <w:t>F,region</w:t>
            </w:r>
            <w:proofErr w:type="spellEnd"/>
            <w:proofErr w:type="gramEnd"/>
            <w:r w:rsidRPr="008253DD">
              <w:rPr>
                <w:rFonts w:eastAsia="Times New Roman"/>
                <w:sz w:val="16"/>
                <w:lang w:val="en-US"/>
              </w:rPr>
              <w:t>=USA} =&gt; {</w:t>
            </w:r>
            <w:proofErr w:type="spellStart"/>
            <w:r w:rsidRPr="008253DD">
              <w:rPr>
                <w:rFonts w:eastAsia="Times New Roman"/>
                <w:sz w:val="16"/>
                <w:lang w:val="en-US"/>
              </w:rPr>
              <w:t>edad</w:t>
            </w:r>
            <w:proofErr w:type="spellEnd"/>
            <w:r w:rsidRPr="008253DD">
              <w:rPr>
                <w:rFonts w:eastAsia="Times New Roman"/>
                <w:sz w:val="16"/>
                <w:lang w:val="en-US"/>
              </w:rPr>
              <w:t>=Young}</w:t>
            </w:r>
          </w:p>
        </w:tc>
        <w:tc>
          <w:tcPr>
            <w:tcW w:w="963"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0.016</w:t>
            </w:r>
          </w:p>
        </w:tc>
        <w:tc>
          <w:tcPr>
            <w:tcW w:w="108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0.307</w:t>
            </w:r>
          </w:p>
        </w:tc>
        <w:tc>
          <w:tcPr>
            <w:tcW w:w="793"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2.931</w:t>
            </w:r>
          </w:p>
        </w:tc>
        <w:tc>
          <w:tcPr>
            <w:tcW w:w="989"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90</w:t>
            </w:r>
          </w:p>
        </w:tc>
      </w:tr>
      <w:tr w:rsidR="00032A91" w:rsidRPr="008253DD" w:rsidTr="008253DD">
        <w:tc>
          <w:tcPr>
            <w:tcW w:w="3147"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{sexo=</w:t>
            </w:r>
            <w:proofErr w:type="spellStart"/>
            <w:proofErr w:type="gramStart"/>
            <w:r w:rsidRPr="008253DD">
              <w:rPr>
                <w:rFonts w:eastAsia="Times New Roman"/>
                <w:sz w:val="16"/>
              </w:rPr>
              <w:t>F,horario</w:t>
            </w:r>
            <w:proofErr w:type="spellEnd"/>
            <w:proofErr w:type="gramEnd"/>
            <w:r w:rsidRPr="008253DD">
              <w:rPr>
                <w:rFonts w:eastAsia="Times New Roman"/>
                <w:sz w:val="16"/>
              </w:rPr>
              <w:t>=PM} =&gt; {edad=Young}</w:t>
            </w:r>
          </w:p>
        </w:tc>
        <w:tc>
          <w:tcPr>
            <w:tcW w:w="963"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0.012</w:t>
            </w:r>
          </w:p>
        </w:tc>
        <w:tc>
          <w:tcPr>
            <w:tcW w:w="108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0.304</w:t>
            </w:r>
          </w:p>
        </w:tc>
        <w:tc>
          <w:tcPr>
            <w:tcW w:w="793"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2.904</w:t>
            </w:r>
          </w:p>
        </w:tc>
        <w:tc>
          <w:tcPr>
            <w:tcW w:w="989"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70</w:t>
            </w:r>
          </w:p>
        </w:tc>
      </w:tr>
      <w:tr w:rsidR="00032A91" w:rsidRPr="008253DD" w:rsidTr="008253DD">
        <w:tc>
          <w:tcPr>
            <w:tcW w:w="3147"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{fatal=</w:t>
            </w:r>
            <w:proofErr w:type="spellStart"/>
            <w:proofErr w:type="gramStart"/>
            <w:r w:rsidRPr="008253DD">
              <w:rPr>
                <w:rFonts w:eastAsia="Times New Roman"/>
                <w:sz w:val="16"/>
              </w:rPr>
              <w:t>no,edad</w:t>
            </w:r>
            <w:proofErr w:type="spellEnd"/>
            <w:proofErr w:type="gramEnd"/>
            <w:r w:rsidRPr="008253DD">
              <w:rPr>
                <w:rFonts w:eastAsia="Times New Roman"/>
                <w:sz w:val="16"/>
              </w:rPr>
              <w:t>=Old} =&gt; {</w:t>
            </w:r>
            <w:proofErr w:type="spellStart"/>
            <w:r w:rsidRPr="008253DD">
              <w:rPr>
                <w:rFonts w:eastAsia="Times New Roman"/>
                <w:sz w:val="16"/>
              </w:rPr>
              <w:t>year_bins</w:t>
            </w:r>
            <w:proofErr w:type="spellEnd"/>
            <w:r w:rsidRPr="008253DD">
              <w:rPr>
                <w:rFonts w:eastAsia="Times New Roman"/>
                <w:sz w:val="16"/>
              </w:rPr>
              <w:t>=[2010,2016]}</w:t>
            </w:r>
          </w:p>
        </w:tc>
        <w:tc>
          <w:tcPr>
            <w:tcW w:w="963"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0.011</w:t>
            </w:r>
          </w:p>
        </w:tc>
        <w:tc>
          <w:tcPr>
            <w:tcW w:w="108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0.356</w:t>
            </w:r>
          </w:p>
        </w:tc>
        <w:tc>
          <w:tcPr>
            <w:tcW w:w="793"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2.746</w:t>
            </w:r>
          </w:p>
        </w:tc>
        <w:tc>
          <w:tcPr>
            <w:tcW w:w="989"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62</w:t>
            </w:r>
          </w:p>
        </w:tc>
      </w:tr>
      <w:tr w:rsidR="00032A91" w:rsidRPr="008253DD" w:rsidTr="008253DD">
        <w:tc>
          <w:tcPr>
            <w:tcW w:w="3147" w:type="dxa"/>
            <w:tcBorders>
              <w:bottom w:val="double" w:sz="6" w:space="0" w:color="auto"/>
            </w:tcBorders>
            <w:tcMar>
              <w:top w:w="28" w:type="dxa"/>
              <w:left w:w="28" w:type="dxa"/>
              <w:bottom w:w="28" w:type="dxa"/>
              <w:right w:w="28" w:type="dxa"/>
            </w:tcMar>
            <w:hideMark/>
          </w:tcPr>
          <w:p w:rsidR="00032A91" w:rsidRPr="008253DD" w:rsidRDefault="00032A91" w:rsidP="00283F03">
            <w:pPr>
              <w:jc w:val="center"/>
              <w:rPr>
                <w:rFonts w:eastAsia="Times New Roman"/>
                <w:sz w:val="16"/>
                <w:lang w:val="en-US"/>
              </w:rPr>
            </w:pPr>
            <w:r w:rsidRPr="008253DD">
              <w:rPr>
                <w:rFonts w:eastAsia="Times New Roman"/>
                <w:sz w:val="16"/>
                <w:lang w:val="en-US"/>
              </w:rPr>
              <w:t>{Type=</w:t>
            </w:r>
            <w:proofErr w:type="spellStart"/>
            <w:proofErr w:type="gramStart"/>
            <w:r w:rsidRPr="008253DD">
              <w:rPr>
                <w:rFonts w:eastAsia="Times New Roman"/>
                <w:sz w:val="16"/>
                <w:lang w:val="en-US"/>
              </w:rPr>
              <w:t>Unprovoked,edad</w:t>
            </w:r>
            <w:proofErr w:type="spellEnd"/>
            <w:proofErr w:type="gramEnd"/>
            <w:r w:rsidRPr="008253DD">
              <w:rPr>
                <w:rFonts w:eastAsia="Times New Roman"/>
                <w:sz w:val="16"/>
                <w:lang w:val="en-US"/>
              </w:rPr>
              <w:t>=Old} =&gt; {</w:t>
            </w:r>
            <w:proofErr w:type="spellStart"/>
            <w:r w:rsidRPr="008253DD">
              <w:rPr>
                <w:rFonts w:eastAsia="Times New Roman"/>
                <w:sz w:val="16"/>
                <w:lang w:val="en-US"/>
              </w:rPr>
              <w:t>year_bins</w:t>
            </w:r>
            <w:proofErr w:type="spellEnd"/>
            <w:r w:rsidRPr="008253DD">
              <w:rPr>
                <w:rFonts w:eastAsia="Times New Roman"/>
                <w:sz w:val="16"/>
                <w:lang w:val="en-US"/>
              </w:rPr>
              <w:t>=[2010,2016]}</w:t>
            </w:r>
          </w:p>
        </w:tc>
        <w:tc>
          <w:tcPr>
            <w:tcW w:w="963" w:type="dxa"/>
            <w:tcBorders>
              <w:bottom w:val="double" w:sz="6" w:space="0" w:color="auto"/>
            </w:tcBorders>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0.011</w:t>
            </w:r>
          </w:p>
        </w:tc>
        <w:tc>
          <w:tcPr>
            <w:tcW w:w="1080" w:type="dxa"/>
            <w:tcBorders>
              <w:bottom w:val="double" w:sz="6" w:space="0" w:color="auto"/>
            </w:tcBorders>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0.356</w:t>
            </w:r>
          </w:p>
        </w:tc>
        <w:tc>
          <w:tcPr>
            <w:tcW w:w="793" w:type="dxa"/>
            <w:tcBorders>
              <w:bottom w:val="double" w:sz="6" w:space="0" w:color="auto"/>
            </w:tcBorders>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2.746</w:t>
            </w:r>
          </w:p>
        </w:tc>
        <w:tc>
          <w:tcPr>
            <w:tcW w:w="989" w:type="dxa"/>
            <w:tcBorders>
              <w:bottom w:val="double" w:sz="6" w:space="0" w:color="auto"/>
            </w:tcBorders>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62</w:t>
            </w:r>
          </w:p>
        </w:tc>
      </w:tr>
    </w:tbl>
    <w:p w:rsidR="000E65F1" w:rsidRPr="000E65F1" w:rsidRDefault="000E65F1" w:rsidP="000E65F1">
      <w:pPr>
        <w:spacing w:line="288" w:lineRule="auto"/>
        <w:jc w:val="center"/>
        <w:rPr>
          <w:b/>
        </w:rPr>
      </w:pPr>
    </w:p>
    <w:p w:rsidR="003C5B36" w:rsidRDefault="00283F03">
      <w:pPr>
        <w:spacing w:line="288" w:lineRule="auto"/>
      </w:pPr>
      <w:r>
        <w:t xml:space="preserve">En los cuadros 3 y 4 se </w:t>
      </w:r>
      <w:r w:rsidR="000E65F1">
        <w:t>registran las</w:t>
      </w:r>
      <w:r>
        <w:t xml:space="preserve"> primeras diez reglas ordenadas por soporte y lift, respectivamente.</w:t>
      </w:r>
    </w:p>
    <w:p w:rsidR="003C5B36" w:rsidRDefault="00283F03">
      <w:pPr>
        <w:spacing w:after="120" w:line="288" w:lineRule="auto"/>
      </w:pPr>
      <w:r>
        <w:t xml:space="preserve">Si bien el ranking por soporte (cuadro 3) no es de gran ayuda para encontrar relaciones interesantes -- ya que solo indica frecuencia de cada regla en tanto </w:t>
      </w:r>
      <w:proofErr w:type="spellStart"/>
      <w:r>
        <w:t>itemsets</w:t>
      </w:r>
      <w:proofErr w:type="spellEnd"/>
      <w:r>
        <w:t xml:space="preserve"> --, sí es útil para ilustrar la composición de los datos. Las tres combinaciones de ítems más frecuentes en los ataques son tipo “</w:t>
      </w:r>
      <w:proofErr w:type="spellStart"/>
      <w:r>
        <w:t>unprovoked</w:t>
      </w:r>
      <w:proofErr w:type="spellEnd"/>
      <w:r>
        <w:t>” y víctimas hombres, accidentes no fatales y a hombres, y accidentes no fatales y de tipo “</w:t>
      </w:r>
      <w:proofErr w:type="spellStart"/>
      <w:r>
        <w:t>unprovoked</w:t>
      </w:r>
      <w:proofErr w:type="spellEnd"/>
      <w:r>
        <w:t xml:space="preserve">”, reuniendo cada uno de estos </w:t>
      </w:r>
      <w:proofErr w:type="spellStart"/>
      <w:r>
        <w:t>itemsets</w:t>
      </w:r>
      <w:proofErr w:type="spellEnd"/>
      <w:r>
        <w:t xml:space="preserve"> soportes de 61,9%, 58,4% y 53,4%, respectivamente. Desde luego, este resultado se corresponde con lo observado en la figura 1 del análisis exploratorio. </w:t>
      </w:r>
    </w:p>
    <w:p w:rsidR="003C5B36" w:rsidRDefault="00283F03">
      <w:pPr>
        <w:spacing w:after="120" w:line="288" w:lineRule="auto"/>
      </w:pPr>
      <w:r>
        <w:t>Para poder estudiar la coocurrencia de factores en un sentido condicional es posible usar una métrica de confianza o probabilidad condicional estimada. Sin embargo, esta medida no garantiza la generación de reglas robustas ya que es probable obtener reglas cuyas confianzas son altas “por casualidad”, es decir, únicamente porque sus consecuentes tienen un soporte alto. Por consiguiente, si bien las tablas presentadas incluyen la confianza de cada regla, evaluamos los resultados en términos de la métrica de lift.</w:t>
      </w:r>
    </w:p>
    <w:p w:rsidR="003C5B36" w:rsidRDefault="00283F03">
      <w:pPr>
        <w:spacing w:after="120" w:line="288" w:lineRule="auto"/>
      </w:pPr>
      <w:r>
        <w:t xml:space="preserve">En el cuadro 4 se encuentran las diez reglas con mayor lift. El lift es la relación entre el soporte observado de la regla y el que se observaría si antecedente y consecuente fueran independientes, de modo que un lift mayor que 1 indica dependencia entre precedente y consecuente. Esta medida es un mejor indicador de asociaciones no espurias o no triviales ya que tiene en cuenta el soporte de la coocurrencia de antecedente y consecuente controlado por la probabilidad de suceso </w:t>
      </w:r>
      <w:r>
        <w:lastRenderedPageBreak/>
        <w:t xml:space="preserve">de cada uno (de manera independiente). </w:t>
      </w:r>
      <w:proofErr w:type="spellStart"/>
      <w:r>
        <w:t>Cuánto</w:t>
      </w:r>
      <w:proofErr w:type="spellEnd"/>
      <w:r>
        <w:t xml:space="preserve"> mayor es el lift, mayor es la capacidad predictiva del precedente con respecto al consecuente. </w:t>
      </w:r>
    </w:p>
    <w:p w:rsidR="003C5B36" w:rsidRDefault="00283F03">
      <w:pPr>
        <w:spacing w:after="120" w:line="288" w:lineRule="auto"/>
      </w:pPr>
      <w:r>
        <w:t>La regla de mayor lift indica una fuerte dependencia entre ataques a hombres adultos en el período 1980-1990 y que la región del ataque sea Sudáfrica. Dado que estamos en presencia de un lift alto podemos suponer que en la región hubo particularmente más ataques que lo esperado para hombres adultos durante esa década comparado con otras regiones y con otros períodos de la historia. El resultado puede deberse a la presencia de algún episodio particular ocurrido en la región durante la época.</w:t>
      </w:r>
    </w:p>
    <w:p w:rsidR="003C5B36" w:rsidRDefault="00283F03">
      <w:pPr>
        <w:spacing w:after="120" w:line="288" w:lineRule="auto"/>
      </w:pPr>
      <w:r>
        <w:t xml:space="preserve">Las reglas 3, 4, 5, 6, 7 y 8 del cuadro 4 indican en su conjunto patrones relevantes para determinar las características de los ataques en los que la víctima es joven: en términos generales, estos ataques ocurren en </w:t>
      </w:r>
      <w:proofErr w:type="gramStart"/>
      <w:r>
        <w:t>EEUU</w:t>
      </w:r>
      <w:proofErr w:type="gramEnd"/>
      <w:r>
        <w:t>, no son provocados, no fueron fatales y afectan a las mujeres. Es llamativo que este tipo de ataques sucedan con mayor probabilidad en Estados Unidos que el resto de las regiones y nos permite suponer que hay mayor exposición a situaciones potencialmente peligrosas para niños y/o mujeres.</w:t>
      </w:r>
    </w:p>
    <w:p w:rsidR="003C5B36" w:rsidRDefault="00283F03">
      <w:pPr>
        <w:spacing w:line="288" w:lineRule="auto"/>
        <w:jc w:val="center"/>
      </w:pPr>
      <w:r>
        <w:rPr>
          <w:b/>
        </w:rPr>
        <w:t>Figura 9. Reglas según soporte, confianza y lift (configuración A)</w:t>
      </w:r>
      <w:r>
        <w:rPr>
          <w:noProof/>
        </w:rPr>
        <w:drawing>
          <wp:inline distT="114300" distB="114300" distL="114300" distR="114300">
            <wp:extent cx="2976520" cy="1781032"/>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t="17838"/>
                    <a:stretch>
                      <a:fillRect/>
                    </a:stretch>
                  </pic:blipFill>
                  <pic:spPr>
                    <a:xfrm>
                      <a:off x="0" y="0"/>
                      <a:ext cx="2993849" cy="1791401"/>
                    </a:xfrm>
                    <a:prstGeom prst="rect">
                      <a:avLst/>
                    </a:prstGeom>
                    <a:ln/>
                  </pic:spPr>
                </pic:pic>
              </a:graphicData>
            </a:graphic>
          </wp:inline>
        </w:drawing>
      </w:r>
    </w:p>
    <w:p w:rsidR="003C5B36" w:rsidRDefault="00283F03">
      <w:pPr>
        <w:spacing w:after="120" w:line="288" w:lineRule="auto"/>
      </w:pPr>
      <w:r>
        <w:t xml:space="preserve">En la figura 9 se observa que las reglas no triviales presentadas en el cuadro 5 -- con lift alto -- tienden a tener bajo soporte y baja confianza </w:t>
      </w:r>
      <w:r w:rsidR="00032A91">
        <w:t>con relación al</w:t>
      </w:r>
      <w:r>
        <w:t xml:space="preserve"> resto de las reglas generadas. En otras palabras, estas reglas tienen un poder predictivo alto, pero son aplicables a pocos casos del dataset. Como se observa en la figura, ninguna regla tiene simultáneamente lift alto y soporte alto. </w:t>
      </w:r>
    </w:p>
    <w:p w:rsidR="003C5B36" w:rsidRDefault="00283F03">
      <w:pPr>
        <w:spacing w:line="288" w:lineRule="auto"/>
        <w:jc w:val="center"/>
        <w:rPr>
          <w:b/>
        </w:rPr>
      </w:pPr>
      <w:r>
        <w:rPr>
          <w:b/>
        </w:rPr>
        <w:t>Cuadro 5. Diez reglas con mayor lift y “fatal=yes” en el consecuente (configuración A)</w:t>
      </w:r>
    </w:p>
    <w:tbl>
      <w:tblPr>
        <w:tblW w:w="0" w:type="auto"/>
        <w:tblInd w:w="454" w:type="dxa"/>
        <w:tblLayout w:type="fixed"/>
        <w:tblCellMar>
          <w:top w:w="15" w:type="dxa"/>
          <w:left w:w="15" w:type="dxa"/>
          <w:bottom w:w="15" w:type="dxa"/>
          <w:right w:w="15" w:type="dxa"/>
        </w:tblCellMar>
        <w:tblLook w:val="04A0" w:firstRow="1" w:lastRow="0" w:firstColumn="1" w:lastColumn="0" w:noHBand="0" w:noVBand="1"/>
      </w:tblPr>
      <w:tblGrid>
        <w:gridCol w:w="3260"/>
        <w:gridCol w:w="850"/>
        <w:gridCol w:w="985"/>
        <w:gridCol w:w="713"/>
        <w:gridCol w:w="710"/>
      </w:tblGrid>
      <w:tr w:rsidR="00032A91" w:rsidRPr="008253DD" w:rsidTr="00E12450">
        <w:tc>
          <w:tcPr>
            <w:tcW w:w="3260" w:type="dxa"/>
            <w:tcBorders>
              <w:top w:val="double" w:sz="6" w:space="0" w:color="auto"/>
              <w:bottom w:val="single" w:sz="6" w:space="0" w:color="000000"/>
            </w:tcBorders>
            <w:tcMar>
              <w:top w:w="28" w:type="dxa"/>
              <w:left w:w="28" w:type="dxa"/>
              <w:bottom w:w="28" w:type="dxa"/>
              <w:right w:w="28" w:type="dxa"/>
            </w:tcMar>
            <w:vAlign w:val="center"/>
            <w:hideMark/>
          </w:tcPr>
          <w:p w:rsidR="00032A91" w:rsidRPr="008253DD" w:rsidRDefault="00032A91" w:rsidP="00283F03">
            <w:pPr>
              <w:jc w:val="center"/>
              <w:rPr>
                <w:rFonts w:eastAsia="Times New Roman"/>
                <w:i/>
                <w:iCs/>
                <w:sz w:val="16"/>
                <w:szCs w:val="24"/>
              </w:rPr>
            </w:pPr>
            <w:r w:rsidRPr="008253DD">
              <w:rPr>
                <w:rFonts w:eastAsia="Times New Roman"/>
                <w:i/>
                <w:iCs/>
                <w:sz w:val="16"/>
              </w:rPr>
              <w:t>rules</w:t>
            </w:r>
          </w:p>
        </w:tc>
        <w:tc>
          <w:tcPr>
            <w:tcW w:w="850" w:type="dxa"/>
            <w:tcBorders>
              <w:top w:val="double" w:sz="6" w:space="0" w:color="auto"/>
              <w:bottom w:val="single" w:sz="6" w:space="0" w:color="000000"/>
            </w:tcBorders>
            <w:tcMar>
              <w:top w:w="28" w:type="dxa"/>
              <w:left w:w="28" w:type="dxa"/>
              <w:bottom w:w="28" w:type="dxa"/>
              <w:right w:w="28" w:type="dxa"/>
            </w:tcMar>
            <w:vAlign w:val="center"/>
            <w:hideMark/>
          </w:tcPr>
          <w:p w:rsidR="00032A91" w:rsidRPr="008253DD" w:rsidRDefault="00032A91" w:rsidP="00283F03">
            <w:pPr>
              <w:jc w:val="center"/>
              <w:rPr>
                <w:rFonts w:eastAsia="Times New Roman"/>
                <w:i/>
                <w:iCs/>
                <w:sz w:val="16"/>
              </w:rPr>
            </w:pPr>
            <w:proofErr w:type="spellStart"/>
            <w:r w:rsidRPr="008253DD">
              <w:rPr>
                <w:rFonts w:eastAsia="Times New Roman"/>
                <w:i/>
                <w:iCs/>
                <w:sz w:val="16"/>
              </w:rPr>
              <w:t>support</w:t>
            </w:r>
            <w:proofErr w:type="spellEnd"/>
          </w:p>
        </w:tc>
        <w:tc>
          <w:tcPr>
            <w:tcW w:w="985" w:type="dxa"/>
            <w:tcBorders>
              <w:top w:val="double" w:sz="6" w:space="0" w:color="auto"/>
              <w:bottom w:val="single" w:sz="6" w:space="0" w:color="000000"/>
            </w:tcBorders>
            <w:tcMar>
              <w:top w:w="28" w:type="dxa"/>
              <w:left w:w="28" w:type="dxa"/>
              <w:bottom w:w="28" w:type="dxa"/>
              <w:right w:w="28" w:type="dxa"/>
            </w:tcMar>
            <w:vAlign w:val="center"/>
            <w:hideMark/>
          </w:tcPr>
          <w:p w:rsidR="00032A91" w:rsidRPr="008253DD" w:rsidRDefault="00032A91" w:rsidP="00283F03">
            <w:pPr>
              <w:jc w:val="center"/>
              <w:rPr>
                <w:rFonts w:eastAsia="Times New Roman"/>
                <w:i/>
                <w:iCs/>
                <w:sz w:val="16"/>
              </w:rPr>
            </w:pPr>
            <w:proofErr w:type="spellStart"/>
            <w:r w:rsidRPr="008253DD">
              <w:rPr>
                <w:rFonts w:eastAsia="Times New Roman"/>
                <w:i/>
                <w:iCs/>
                <w:sz w:val="16"/>
              </w:rPr>
              <w:t>confidence</w:t>
            </w:r>
            <w:proofErr w:type="spellEnd"/>
          </w:p>
        </w:tc>
        <w:tc>
          <w:tcPr>
            <w:tcW w:w="713" w:type="dxa"/>
            <w:tcBorders>
              <w:top w:val="double" w:sz="6" w:space="0" w:color="auto"/>
              <w:bottom w:val="single" w:sz="6" w:space="0" w:color="000000"/>
            </w:tcBorders>
            <w:tcMar>
              <w:top w:w="28" w:type="dxa"/>
              <w:left w:w="28" w:type="dxa"/>
              <w:bottom w:w="28" w:type="dxa"/>
              <w:right w:w="28" w:type="dxa"/>
            </w:tcMar>
            <w:vAlign w:val="center"/>
            <w:hideMark/>
          </w:tcPr>
          <w:p w:rsidR="00032A91" w:rsidRPr="008253DD" w:rsidRDefault="00032A91" w:rsidP="00283F03">
            <w:pPr>
              <w:jc w:val="center"/>
              <w:rPr>
                <w:rFonts w:eastAsia="Times New Roman"/>
                <w:i/>
                <w:iCs/>
                <w:sz w:val="16"/>
              </w:rPr>
            </w:pPr>
            <w:r w:rsidRPr="008253DD">
              <w:rPr>
                <w:rFonts w:eastAsia="Times New Roman"/>
                <w:i/>
                <w:iCs/>
                <w:sz w:val="16"/>
              </w:rPr>
              <w:t>lift</w:t>
            </w:r>
          </w:p>
        </w:tc>
        <w:tc>
          <w:tcPr>
            <w:tcW w:w="710" w:type="dxa"/>
            <w:tcBorders>
              <w:top w:val="double" w:sz="6" w:space="0" w:color="auto"/>
              <w:bottom w:val="single" w:sz="6" w:space="0" w:color="000000"/>
            </w:tcBorders>
            <w:tcMar>
              <w:top w:w="28" w:type="dxa"/>
              <w:left w:w="28" w:type="dxa"/>
              <w:bottom w:w="28" w:type="dxa"/>
              <w:right w:w="28" w:type="dxa"/>
            </w:tcMar>
            <w:vAlign w:val="center"/>
            <w:hideMark/>
          </w:tcPr>
          <w:p w:rsidR="00032A91" w:rsidRPr="008253DD" w:rsidRDefault="00032A91" w:rsidP="00283F03">
            <w:pPr>
              <w:jc w:val="center"/>
              <w:rPr>
                <w:rFonts w:eastAsia="Times New Roman"/>
                <w:i/>
                <w:iCs/>
                <w:sz w:val="16"/>
              </w:rPr>
            </w:pPr>
            <w:proofErr w:type="spellStart"/>
            <w:r w:rsidRPr="008253DD">
              <w:rPr>
                <w:rFonts w:eastAsia="Times New Roman"/>
                <w:i/>
                <w:iCs/>
                <w:sz w:val="16"/>
              </w:rPr>
              <w:t>count</w:t>
            </w:r>
            <w:proofErr w:type="spellEnd"/>
          </w:p>
        </w:tc>
      </w:tr>
      <w:tr w:rsidR="00032A91" w:rsidRPr="008253DD" w:rsidTr="00E12450">
        <w:tc>
          <w:tcPr>
            <w:tcW w:w="326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w:t>
            </w:r>
            <w:proofErr w:type="spellStart"/>
            <w:r w:rsidRPr="008253DD">
              <w:rPr>
                <w:rFonts w:eastAsia="Times New Roman"/>
                <w:sz w:val="16"/>
              </w:rPr>
              <w:t>Type</w:t>
            </w:r>
            <w:proofErr w:type="spellEnd"/>
            <w:r w:rsidRPr="008253DD">
              <w:rPr>
                <w:rFonts w:eastAsia="Times New Roman"/>
                <w:sz w:val="16"/>
              </w:rPr>
              <w:t xml:space="preserve">=Sea </w:t>
            </w:r>
            <w:proofErr w:type="spellStart"/>
            <w:r w:rsidRPr="008253DD">
              <w:rPr>
                <w:rFonts w:eastAsia="Times New Roman"/>
                <w:sz w:val="16"/>
              </w:rPr>
              <w:t>Disaster</w:t>
            </w:r>
            <w:proofErr w:type="spellEnd"/>
            <w:r w:rsidRPr="008253DD">
              <w:rPr>
                <w:rFonts w:eastAsia="Times New Roman"/>
                <w:sz w:val="16"/>
              </w:rPr>
              <w:t>} =&gt; {fatal=yes}</w:t>
            </w:r>
          </w:p>
        </w:tc>
        <w:tc>
          <w:tcPr>
            <w:tcW w:w="85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0.025</w:t>
            </w:r>
          </w:p>
        </w:tc>
        <w:tc>
          <w:tcPr>
            <w:tcW w:w="985"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0.687</w:t>
            </w:r>
          </w:p>
        </w:tc>
        <w:tc>
          <w:tcPr>
            <w:tcW w:w="713"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2.679</w:t>
            </w:r>
          </w:p>
        </w:tc>
        <w:tc>
          <w:tcPr>
            <w:tcW w:w="71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147</w:t>
            </w:r>
          </w:p>
        </w:tc>
      </w:tr>
      <w:tr w:rsidR="00032A91" w:rsidRPr="008253DD" w:rsidTr="00E12450">
        <w:tc>
          <w:tcPr>
            <w:tcW w:w="3260" w:type="dxa"/>
            <w:tcMar>
              <w:top w:w="28" w:type="dxa"/>
              <w:left w:w="28" w:type="dxa"/>
              <w:bottom w:w="28" w:type="dxa"/>
              <w:right w:w="28" w:type="dxa"/>
            </w:tcMar>
            <w:hideMark/>
          </w:tcPr>
          <w:p w:rsidR="00032A91" w:rsidRPr="008253DD" w:rsidRDefault="00032A91" w:rsidP="00283F03">
            <w:pPr>
              <w:jc w:val="center"/>
              <w:rPr>
                <w:rFonts w:eastAsia="Times New Roman"/>
                <w:sz w:val="16"/>
                <w:lang w:val="en-US"/>
              </w:rPr>
            </w:pPr>
            <w:r w:rsidRPr="008253DD">
              <w:rPr>
                <w:rFonts w:eastAsia="Times New Roman"/>
                <w:sz w:val="16"/>
                <w:lang w:val="en-US"/>
              </w:rPr>
              <w:t>{Type=</w:t>
            </w:r>
            <w:proofErr w:type="spellStart"/>
            <w:proofErr w:type="gramStart"/>
            <w:r w:rsidRPr="008253DD">
              <w:rPr>
                <w:rFonts w:eastAsia="Times New Roman"/>
                <w:sz w:val="16"/>
                <w:lang w:val="en-US"/>
              </w:rPr>
              <w:t>Unprovoked,year</w:t>
            </w:r>
            <w:proofErr w:type="gramEnd"/>
            <w:r w:rsidRPr="008253DD">
              <w:rPr>
                <w:rFonts w:eastAsia="Times New Roman"/>
                <w:sz w:val="16"/>
                <w:lang w:val="en-US"/>
              </w:rPr>
              <w:t>_bins</w:t>
            </w:r>
            <w:proofErr w:type="spellEnd"/>
            <w:r w:rsidRPr="008253DD">
              <w:rPr>
                <w:rFonts w:eastAsia="Times New Roman"/>
                <w:sz w:val="16"/>
                <w:lang w:val="en-US"/>
              </w:rPr>
              <w:t>=[1900,1910)} =&gt; {fatal=yes}</w:t>
            </w:r>
          </w:p>
        </w:tc>
        <w:tc>
          <w:tcPr>
            <w:tcW w:w="85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0.012</w:t>
            </w:r>
          </w:p>
        </w:tc>
        <w:tc>
          <w:tcPr>
            <w:tcW w:w="985"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0.624</w:t>
            </w:r>
          </w:p>
        </w:tc>
        <w:tc>
          <w:tcPr>
            <w:tcW w:w="713"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2.433</w:t>
            </w:r>
          </w:p>
        </w:tc>
        <w:tc>
          <w:tcPr>
            <w:tcW w:w="71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68</w:t>
            </w:r>
          </w:p>
        </w:tc>
      </w:tr>
      <w:tr w:rsidR="00032A91" w:rsidRPr="008253DD" w:rsidTr="00E12450">
        <w:tc>
          <w:tcPr>
            <w:tcW w:w="326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w:t>
            </w:r>
            <w:proofErr w:type="spellStart"/>
            <w:r w:rsidRPr="008253DD">
              <w:rPr>
                <w:rFonts w:eastAsia="Times New Roman"/>
                <w:sz w:val="16"/>
              </w:rPr>
              <w:t>year_bins</w:t>
            </w:r>
            <w:proofErr w:type="spellEnd"/>
            <w:proofErr w:type="gramStart"/>
            <w:r w:rsidRPr="008253DD">
              <w:rPr>
                <w:rFonts w:eastAsia="Times New Roman"/>
                <w:sz w:val="16"/>
              </w:rPr>
              <w:t>=[</w:t>
            </w:r>
            <w:proofErr w:type="gramEnd"/>
            <w:r w:rsidRPr="008253DD">
              <w:rPr>
                <w:rFonts w:eastAsia="Times New Roman"/>
                <w:sz w:val="16"/>
              </w:rPr>
              <w:t>1900,1910)} =&gt; {fatal=yes}</w:t>
            </w:r>
          </w:p>
        </w:tc>
        <w:tc>
          <w:tcPr>
            <w:tcW w:w="85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0.016</w:t>
            </w:r>
          </w:p>
        </w:tc>
        <w:tc>
          <w:tcPr>
            <w:tcW w:w="985"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0.613</w:t>
            </w:r>
          </w:p>
        </w:tc>
        <w:tc>
          <w:tcPr>
            <w:tcW w:w="713"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2.392</w:t>
            </w:r>
          </w:p>
        </w:tc>
        <w:tc>
          <w:tcPr>
            <w:tcW w:w="71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92</w:t>
            </w:r>
          </w:p>
        </w:tc>
      </w:tr>
      <w:tr w:rsidR="00032A91" w:rsidRPr="008253DD" w:rsidTr="00E12450">
        <w:tc>
          <w:tcPr>
            <w:tcW w:w="3260" w:type="dxa"/>
            <w:tcMar>
              <w:top w:w="28" w:type="dxa"/>
              <w:left w:w="28" w:type="dxa"/>
              <w:bottom w:w="28" w:type="dxa"/>
              <w:right w:w="28" w:type="dxa"/>
            </w:tcMar>
            <w:hideMark/>
          </w:tcPr>
          <w:p w:rsidR="00032A91" w:rsidRPr="008253DD" w:rsidRDefault="00032A91" w:rsidP="00283F03">
            <w:pPr>
              <w:jc w:val="center"/>
              <w:rPr>
                <w:rFonts w:eastAsia="Times New Roman"/>
                <w:sz w:val="16"/>
                <w:lang w:val="en-US"/>
              </w:rPr>
            </w:pPr>
            <w:r w:rsidRPr="008253DD">
              <w:rPr>
                <w:rFonts w:eastAsia="Times New Roman"/>
                <w:sz w:val="16"/>
                <w:lang w:val="en-US"/>
              </w:rPr>
              <w:t>{Type=</w:t>
            </w:r>
            <w:proofErr w:type="spellStart"/>
            <w:proofErr w:type="gramStart"/>
            <w:r w:rsidRPr="008253DD">
              <w:rPr>
                <w:rFonts w:eastAsia="Times New Roman"/>
                <w:sz w:val="16"/>
                <w:lang w:val="en-US"/>
              </w:rPr>
              <w:t>Unprovoked,year</w:t>
            </w:r>
            <w:proofErr w:type="gramEnd"/>
            <w:r w:rsidRPr="008253DD">
              <w:rPr>
                <w:rFonts w:eastAsia="Times New Roman"/>
                <w:sz w:val="16"/>
                <w:lang w:val="en-US"/>
              </w:rPr>
              <w:t>_bins</w:t>
            </w:r>
            <w:proofErr w:type="spellEnd"/>
            <w:r w:rsidRPr="008253DD">
              <w:rPr>
                <w:rFonts w:eastAsia="Times New Roman"/>
                <w:sz w:val="16"/>
                <w:lang w:val="en-US"/>
              </w:rPr>
              <w:t>=[1890,1900)} =&gt; {fatal=yes}</w:t>
            </w:r>
          </w:p>
        </w:tc>
        <w:tc>
          <w:tcPr>
            <w:tcW w:w="85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0.01</w:t>
            </w:r>
          </w:p>
        </w:tc>
        <w:tc>
          <w:tcPr>
            <w:tcW w:w="985"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0.55</w:t>
            </w:r>
          </w:p>
        </w:tc>
        <w:tc>
          <w:tcPr>
            <w:tcW w:w="713"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2.147</w:t>
            </w:r>
          </w:p>
        </w:tc>
        <w:tc>
          <w:tcPr>
            <w:tcW w:w="71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60</w:t>
            </w:r>
          </w:p>
        </w:tc>
      </w:tr>
      <w:tr w:rsidR="00032A91" w:rsidRPr="008253DD" w:rsidTr="00E12450">
        <w:tc>
          <w:tcPr>
            <w:tcW w:w="326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w:t>
            </w:r>
            <w:proofErr w:type="spellStart"/>
            <w:r w:rsidRPr="008253DD">
              <w:rPr>
                <w:rFonts w:eastAsia="Times New Roman"/>
                <w:sz w:val="16"/>
              </w:rPr>
              <w:t>year_bins</w:t>
            </w:r>
            <w:proofErr w:type="spellEnd"/>
            <w:proofErr w:type="gramStart"/>
            <w:r w:rsidRPr="008253DD">
              <w:rPr>
                <w:rFonts w:eastAsia="Times New Roman"/>
                <w:sz w:val="16"/>
              </w:rPr>
              <w:t>=[</w:t>
            </w:r>
            <w:proofErr w:type="gramEnd"/>
            <w:r w:rsidRPr="008253DD">
              <w:rPr>
                <w:rFonts w:eastAsia="Times New Roman"/>
                <w:sz w:val="16"/>
              </w:rPr>
              <w:t>1880,1890)} =&gt; {fatal=yes}</w:t>
            </w:r>
          </w:p>
        </w:tc>
        <w:tc>
          <w:tcPr>
            <w:tcW w:w="85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0.011</w:t>
            </w:r>
          </w:p>
        </w:tc>
        <w:tc>
          <w:tcPr>
            <w:tcW w:w="985"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0.55</w:t>
            </w:r>
          </w:p>
        </w:tc>
        <w:tc>
          <w:tcPr>
            <w:tcW w:w="713"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2.143</w:t>
            </w:r>
          </w:p>
        </w:tc>
        <w:tc>
          <w:tcPr>
            <w:tcW w:w="71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61</w:t>
            </w:r>
          </w:p>
        </w:tc>
      </w:tr>
      <w:tr w:rsidR="00032A91" w:rsidRPr="008253DD" w:rsidTr="00E12450">
        <w:tc>
          <w:tcPr>
            <w:tcW w:w="3260" w:type="dxa"/>
            <w:tcMar>
              <w:top w:w="28" w:type="dxa"/>
              <w:left w:w="28" w:type="dxa"/>
              <w:bottom w:w="28" w:type="dxa"/>
              <w:right w:w="28" w:type="dxa"/>
            </w:tcMar>
            <w:hideMark/>
          </w:tcPr>
          <w:p w:rsidR="00032A91" w:rsidRPr="008253DD" w:rsidRDefault="00032A91" w:rsidP="00283F03">
            <w:pPr>
              <w:jc w:val="center"/>
              <w:rPr>
                <w:rFonts w:eastAsia="Times New Roman"/>
                <w:sz w:val="16"/>
                <w:lang w:val="en-US"/>
              </w:rPr>
            </w:pPr>
            <w:r w:rsidRPr="008253DD">
              <w:rPr>
                <w:rFonts w:eastAsia="Times New Roman"/>
                <w:sz w:val="16"/>
                <w:lang w:val="en-US"/>
              </w:rPr>
              <w:t>{</w:t>
            </w:r>
            <w:proofErr w:type="spellStart"/>
            <w:r w:rsidRPr="008253DD">
              <w:rPr>
                <w:rFonts w:eastAsia="Times New Roman"/>
                <w:sz w:val="16"/>
                <w:lang w:val="en-US"/>
              </w:rPr>
              <w:t>sexo</w:t>
            </w:r>
            <w:proofErr w:type="spellEnd"/>
            <w:r w:rsidRPr="008253DD">
              <w:rPr>
                <w:rFonts w:eastAsia="Times New Roman"/>
                <w:sz w:val="16"/>
                <w:lang w:val="en-US"/>
              </w:rPr>
              <w:t>=</w:t>
            </w:r>
            <w:proofErr w:type="spellStart"/>
            <w:proofErr w:type="gramStart"/>
            <w:r w:rsidRPr="008253DD">
              <w:rPr>
                <w:rFonts w:eastAsia="Times New Roman"/>
                <w:sz w:val="16"/>
                <w:lang w:val="en-US"/>
              </w:rPr>
              <w:t>M,year</w:t>
            </w:r>
            <w:proofErr w:type="gramEnd"/>
            <w:r w:rsidRPr="008253DD">
              <w:rPr>
                <w:rFonts w:eastAsia="Times New Roman"/>
                <w:sz w:val="16"/>
                <w:lang w:val="en-US"/>
              </w:rPr>
              <w:t>_bins</w:t>
            </w:r>
            <w:proofErr w:type="spellEnd"/>
            <w:r w:rsidRPr="008253DD">
              <w:rPr>
                <w:rFonts w:eastAsia="Times New Roman"/>
                <w:sz w:val="16"/>
                <w:lang w:val="en-US"/>
              </w:rPr>
              <w:t>=[1890,1900)} =&gt; {fatal=yes}</w:t>
            </w:r>
          </w:p>
        </w:tc>
        <w:tc>
          <w:tcPr>
            <w:tcW w:w="85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0.011</w:t>
            </w:r>
          </w:p>
        </w:tc>
        <w:tc>
          <w:tcPr>
            <w:tcW w:w="985"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0.529</w:t>
            </w:r>
          </w:p>
        </w:tc>
        <w:tc>
          <w:tcPr>
            <w:tcW w:w="713"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2.063</w:t>
            </w:r>
          </w:p>
        </w:tc>
        <w:tc>
          <w:tcPr>
            <w:tcW w:w="71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64</w:t>
            </w:r>
          </w:p>
        </w:tc>
      </w:tr>
      <w:tr w:rsidR="00032A91" w:rsidRPr="008253DD" w:rsidTr="00E12450">
        <w:tc>
          <w:tcPr>
            <w:tcW w:w="326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lastRenderedPageBreak/>
              <w:t>{</w:t>
            </w:r>
            <w:proofErr w:type="spellStart"/>
            <w:r w:rsidRPr="008253DD">
              <w:rPr>
                <w:rFonts w:eastAsia="Times New Roman"/>
                <w:sz w:val="16"/>
              </w:rPr>
              <w:t>year_bins</w:t>
            </w:r>
            <w:proofErr w:type="spellEnd"/>
            <w:proofErr w:type="gramStart"/>
            <w:r w:rsidRPr="008253DD">
              <w:rPr>
                <w:rFonts w:eastAsia="Times New Roman"/>
                <w:sz w:val="16"/>
              </w:rPr>
              <w:t>=[</w:t>
            </w:r>
            <w:proofErr w:type="gramEnd"/>
            <w:r w:rsidRPr="008253DD">
              <w:rPr>
                <w:rFonts w:eastAsia="Times New Roman"/>
                <w:sz w:val="16"/>
              </w:rPr>
              <w:t>1890,1900)} =&gt; {fatal=yes}</w:t>
            </w:r>
          </w:p>
        </w:tc>
        <w:tc>
          <w:tcPr>
            <w:tcW w:w="85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0.013</w:t>
            </w:r>
          </w:p>
        </w:tc>
        <w:tc>
          <w:tcPr>
            <w:tcW w:w="985"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0.524</w:t>
            </w:r>
          </w:p>
        </w:tc>
        <w:tc>
          <w:tcPr>
            <w:tcW w:w="713"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2.045</w:t>
            </w:r>
          </w:p>
        </w:tc>
        <w:tc>
          <w:tcPr>
            <w:tcW w:w="71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75</w:t>
            </w:r>
          </w:p>
        </w:tc>
      </w:tr>
      <w:tr w:rsidR="00032A91" w:rsidRPr="008253DD" w:rsidTr="00E12450">
        <w:tc>
          <w:tcPr>
            <w:tcW w:w="326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w:t>
            </w:r>
            <w:proofErr w:type="spellStart"/>
            <w:r w:rsidRPr="008253DD">
              <w:rPr>
                <w:rFonts w:eastAsia="Times New Roman"/>
                <w:sz w:val="16"/>
              </w:rPr>
              <w:t>year_bins</w:t>
            </w:r>
            <w:proofErr w:type="spellEnd"/>
            <w:proofErr w:type="gramStart"/>
            <w:r w:rsidRPr="008253DD">
              <w:rPr>
                <w:rFonts w:eastAsia="Times New Roman"/>
                <w:sz w:val="16"/>
              </w:rPr>
              <w:t>=[</w:t>
            </w:r>
            <w:proofErr w:type="gramEnd"/>
            <w:r w:rsidRPr="008253DD">
              <w:rPr>
                <w:rFonts w:eastAsia="Times New Roman"/>
                <w:sz w:val="16"/>
              </w:rPr>
              <w:t>1910,1920)} =&gt; {fatal=yes}</w:t>
            </w:r>
          </w:p>
        </w:tc>
        <w:tc>
          <w:tcPr>
            <w:tcW w:w="85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0.011</w:t>
            </w:r>
          </w:p>
        </w:tc>
        <w:tc>
          <w:tcPr>
            <w:tcW w:w="985"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0.437</w:t>
            </w:r>
          </w:p>
        </w:tc>
        <w:tc>
          <w:tcPr>
            <w:tcW w:w="713"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1.703</w:t>
            </w:r>
          </w:p>
        </w:tc>
        <w:tc>
          <w:tcPr>
            <w:tcW w:w="71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62</w:t>
            </w:r>
          </w:p>
        </w:tc>
      </w:tr>
      <w:tr w:rsidR="00032A91" w:rsidRPr="008253DD" w:rsidTr="00E12450">
        <w:tc>
          <w:tcPr>
            <w:tcW w:w="326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w:t>
            </w:r>
            <w:proofErr w:type="spellStart"/>
            <w:r w:rsidRPr="008253DD">
              <w:rPr>
                <w:rFonts w:eastAsia="Times New Roman"/>
                <w:sz w:val="16"/>
              </w:rPr>
              <w:t>Type</w:t>
            </w:r>
            <w:proofErr w:type="spellEnd"/>
            <w:r w:rsidRPr="008253DD">
              <w:rPr>
                <w:rFonts w:eastAsia="Times New Roman"/>
                <w:sz w:val="16"/>
              </w:rPr>
              <w:t>=</w:t>
            </w:r>
            <w:proofErr w:type="spellStart"/>
            <w:proofErr w:type="gramStart"/>
            <w:r w:rsidRPr="008253DD">
              <w:rPr>
                <w:rFonts w:eastAsia="Times New Roman"/>
                <w:sz w:val="16"/>
              </w:rPr>
              <w:t>Unprovoked,sexo</w:t>
            </w:r>
            <w:proofErr w:type="spellEnd"/>
            <w:proofErr w:type="gramEnd"/>
            <w:r w:rsidRPr="008253DD">
              <w:rPr>
                <w:rFonts w:eastAsia="Times New Roman"/>
                <w:sz w:val="16"/>
              </w:rPr>
              <w:t>=</w:t>
            </w:r>
            <w:proofErr w:type="spellStart"/>
            <w:r w:rsidRPr="008253DD">
              <w:rPr>
                <w:rFonts w:eastAsia="Times New Roman"/>
                <w:sz w:val="16"/>
              </w:rPr>
              <w:t>M,region</w:t>
            </w:r>
            <w:proofErr w:type="spellEnd"/>
            <w:r w:rsidRPr="008253DD">
              <w:rPr>
                <w:rFonts w:eastAsia="Times New Roman"/>
                <w:sz w:val="16"/>
              </w:rPr>
              <w:t>=</w:t>
            </w:r>
            <w:proofErr w:type="spellStart"/>
            <w:r w:rsidRPr="008253DD">
              <w:rPr>
                <w:rFonts w:eastAsia="Times New Roman"/>
                <w:sz w:val="16"/>
              </w:rPr>
              <w:t>AUSTRALIA,horario</w:t>
            </w:r>
            <w:proofErr w:type="spellEnd"/>
            <w:r w:rsidRPr="008253DD">
              <w:rPr>
                <w:rFonts w:eastAsia="Times New Roman"/>
                <w:sz w:val="16"/>
              </w:rPr>
              <w:t>=</w:t>
            </w:r>
            <w:proofErr w:type="spellStart"/>
            <w:r w:rsidRPr="008253DD">
              <w:rPr>
                <w:rFonts w:eastAsia="Times New Roman"/>
                <w:sz w:val="16"/>
              </w:rPr>
              <w:t>PM,edad</w:t>
            </w:r>
            <w:proofErr w:type="spellEnd"/>
            <w:r w:rsidRPr="008253DD">
              <w:rPr>
                <w:rFonts w:eastAsia="Times New Roman"/>
                <w:sz w:val="16"/>
              </w:rPr>
              <w:t>=</w:t>
            </w:r>
            <w:proofErr w:type="spellStart"/>
            <w:r w:rsidRPr="008253DD">
              <w:rPr>
                <w:rFonts w:eastAsia="Times New Roman"/>
                <w:sz w:val="16"/>
              </w:rPr>
              <w:t>Adult</w:t>
            </w:r>
            <w:proofErr w:type="spellEnd"/>
            <w:r w:rsidRPr="008253DD">
              <w:rPr>
                <w:rFonts w:eastAsia="Times New Roman"/>
                <w:sz w:val="16"/>
              </w:rPr>
              <w:t>} =&gt; {fatal=yes}</w:t>
            </w:r>
          </w:p>
        </w:tc>
        <w:tc>
          <w:tcPr>
            <w:tcW w:w="85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0.012</w:t>
            </w:r>
          </w:p>
        </w:tc>
        <w:tc>
          <w:tcPr>
            <w:tcW w:w="985"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0.406</w:t>
            </w:r>
          </w:p>
        </w:tc>
        <w:tc>
          <w:tcPr>
            <w:tcW w:w="713"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1.584</w:t>
            </w:r>
          </w:p>
        </w:tc>
        <w:tc>
          <w:tcPr>
            <w:tcW w:w="710" w:type="dxa"/>
            <w:tcMar>
              <w:top w:w="28" w:type="dxa"/>
              <w:left w:w="28" w:type="dxa"/>
              <w:bottom w:w="28" w:type="dxa"/>
              <w:right w:w="28" w:type="dxa"/>
            </w:tcMar>
            <w:hideMark/>
          </w:tcPr>
          <w:p w:rsidR="00032A91" w:rsidRPr="008253DD" w:rsidRDefault="00032A91" w:rsidP="00283F03">
            <w:pPr>
              <w:jc w:val="center"/>
              <w:rPr>
                <w:rFonts w:eastAsia="Times New Roman"/>
                <w:sz w:val="16"/>
              </w:rPr>
            </w:pPr>
            <w:r w:rsidRPr="008253DD">
              <w:rPr>
                <w:rFonts w:eastAsia="Times New Roman"/>
                <w:sz w:val="16"/>
              </w:rPr>
              <w:t>67</w:t>
            </w:r>
          </w:p>
        </w:tc>
      </w:tr>
      <w:tr w:rsidR="00E12450" w:rsidRPr="008253DD" w:rsidTr="00E12450">
        <w:tc>
          <w:tcPr>
            <w:tcW w:w="3260" w:type="dxa"/>
            <w:tcBorders>
              <w:bottom w:val="double" w:sz="4" w:space="0" w:color="auto"/>
            </w:tcBorders>
            <w:tcMar>
              <w:top w:w="28" w:type="dxa"/>
              <w:left w:w="28" w:type="dxa"/>
              <w:bottom w:w="28" w:type="dxa"/>
              <w:right w:w="28" w:type="dxa"/>
            </w:tcMar>
            <w:hideMark/>
          </w:tcPr>
          <w:p w:rsidR="00E12450" w:rsidRPr="008253DD" w:rsidRDefault="00E12450" w:rsidP="00E12450">
            <w:pPr>
              <w:jc w:val="center"/>
              <w:rPr>
                <w:rFonts w:eastAsia="Times New Roman"/>
                <w:sz w:val="16"/>
              </w:rPr>
            </w:pPr>
            <w:r w:rsidRPr="008253DD">
              <w:rPr>
                <w:rFonts w:eastAsia="Times New Roman"/>
                <w:sz w:val="16"/>
              </w:rPr>
              <w:t>{</w:t>
            </w:r>
            <w:proofErr w:type="spellStart"/>
            <w:r w:rsidRPr="008253DD">
              <w:rPr>
                <w:rFonts w:eastAsia="Times New Roman"/>
                <w:sz w:val="16"/>
              </w:rPr>
              <w:t>Type</w:t>
            </w:r>
            <w:proofErr w:type="spellEnd"/>
            <w:r w:rsidRPr="008253DD">
              <w:rPr>
                <w:rFonts w:eastAsia="Times New Roman"/>
                <w:sz w:val="16"/>
              </w:rPr>
              <w:t>=</w:t>
            </w:r>
            <w:proofErr w:type="spellStart"/>
            <w:proofErr w:type="gramStart"/>
            <w:r w:rsidRPr="008253DD">
              <w:rPr>
                <w:rFonts w:eastAsia="Times New Roman"/>
                <w:sz w:val="16"/>
              </w:rPr>
              <w:t>Unprovoked,region</w:t>
            </w:r>
            <w:proofErr w:type="spellEnd"/>
            <w:proofErr w:type="gramEnd"/>
            <w:r w:rsidRPr="008253DD">
              <w:rPr>
                <w:rFonts w:eastAsia="Times New Roman"/>
                <w:sz w:val="16"/>
              </w:rPr>
              <w:t>=</w:t>
            </w:r>
            <w:proofErr w:type="spellStart"/>
            <w:r w:rsidRPr="008253DD">
              <w:rPr>
                <w:rFonts w:eastAsia="Times New Roman"/>
                <w:sz w:val="16"/>
              </w:rPr>
              <w:t>AUSTRALIA,horario</w:t>
            </w:r>
            <w:proofErr w:type="spellEnd"/>
            <w:r w:rsidRPr="008253DD">
              <w:rPr>
                <w:rFonts w:eastAsia="Times New Roman"/>
                <w:sz w:val="16"/>
              </w:rPr>
              <w:t>=</w:t>
            </w:r>
            <w:proofErr w:type="spellStart"/>
            <w:r w:rsidRPr="008253DD">
              <w:rPr>
                <w:rFonts w:eastAsia="Times New Roman"/>
                <w:sz w:val="16"/>
              </w:rPr>
              <w:t>PM,edad</w:t>
            </w:r>
            <w:proofErr w:type="spellEnd"/>
            <w:r w:rsidRPr="008253DD">
              <w:rPr>
                <w:rFonts w:eastAsia="Times New Roman"/>
                <w:sz w:val="16"/>
              </w:rPr>
              <w:t>=</w:t>
            </w:r>
            <w:proofErr w:type="spellStart"/>
            <w:r w:rsidRPr="008253DD">
              <w:rPr>
                <w:rFonts w:eastAsia="Times New Roman"/>
                <w:sz w:val="16"/>
              </w:rPr>
              <w:t>Adult</w:t>
            </w:r>
            <w:proofErr w:type="spellEnd"/>
            <w:r w:rsidRPr="008253DD">
              <w:rPr>
                <w:rFonts w:eastAsia="Times New Roman"/>
                <w:sz w:val="16"/>
              </w:rPr>
              <w:t>} =&gt; {fatal=yes}</w:t>
            </w:r>
          </w:p>
        </w:tc>
        <w:tc>
          <w:tcPr>
            <w:tcW w:w="850" w:type="dxa"/>
            <w:tcBorders>
              <w:bottom w:val="double" w:sz="4" w:space="0" w:color="auto"/>
            </w:tcBorders>
            <w:tcMar>
              <w:top w:w="28" w:type="dxa"/>
              <w:left w:w="28" w:type="dxa"/>
              <w:bottom w:w="28" w:type="dxa"/>
              <w:right w:w="28" w:type="dxa"/>
            </w:tcMar>
            <w:hideMark/>
          </w:tcPr>
          <w:p w:rsidR="00E12450" w:rsidRPr="008253DD" w:rsidRDefault="00E12450" w:rsidP="00E12450">
            <w:pPr>
              <w:jc w:val="center"/>
              <w:rPr>
                <w:rFonts w:eastAsia="Times New Roman"/>
                <w:sz w:val="16"/>
              </w:rPr>
            </w:pPr>
            <w:r w:rsidRPr="008253DD">
              <w:rPr>
                <w:rFonts w:eastAsia="Times New Roman"/>
                <w:sz w:val="16"/>
              </w:rPr>
              <w:t>0.012</w:t>
            </w:r>
          </w:p>
        </w:tc>
        <w:tc>
          <w:tcPr>
            <w:tcW w:w="985" w:type="dxa"/>
            <w:tcBorders>
              <w:bottom w:val="double" w:sz="4" w:space="0" w:color="auto"/>
            </w:tcBorders>
            <w:tcMar>
              <w:top w:w="28" w:type="dxa"/>
              <w:left w:w="28" w:type="dxa"/>
              <w:bottom w:w="28" w:type="dxa"/>
              <w:right w:w="28" w:type="dxa"/>
            </w:tcMar>
            <w:hideMark/>
          </w:tcPr>
          <w:p w:rsidR="00E12450" w:rsidRPr="008253DD" w:rsidRDefault="00E12450" w:rsidP="00E12450">
            <w:pPr>
              <w:jc w:val="center"/>
              <w:rPr>
                <w:rFonts w:eastAsia="Times New Roman"/>
                <w:sz w:val="16"/>
              </w:rPr>
            </w:pPr>
            <w:r w:rsidRPr="008253DD">
              <w:rPr>
                <w:rFonts w:eastAsia="Times New Roman"/>
                <w:sz w:val="16"/>
              </w:rPr>
              <w:t>0.404</w:t>
            </w:r>
          </w:p>
        </w:tc>
        <w:tc>
          <w:tcPr>
            <w:tcW w:w="713" w:type="dxa"/>
            <w:tcBorders>
              <w:bottom w:val="double" w:sz="4" w:space="0" w:color="auto"/>
            </w:tcBorders>
            <w:tcMar>
              <w:top w:w="28" w:type="dxa"/>
              <w:left w:w="28" w:type="dxa"/>
              <w:bottom w:w="28" w:type="dxa"/>
              <w:right w:w="28" w:type="dxa"/>
            </w:tcMar>
            <w:hideMark/>
          </w:tcPr>
          <w:p w:rsidR="00E12450" w:rsidRPr="008253DD" w:rsidRDefault="00E12450" w:rsidP="00E12450">
            <w:pPr>
              <w:jc w:val="center"/>
              <w:rPr>
                <w:rFonts w:eastAsia="Times New Roman"/>
                <w:sz w:val="16"/>
              </w:rPr>
            </w:pPr>
            <w:r w:rsidRPr="008253DD">
              <w:rPr>
                <w:rFonts w:eastAsia="Times New Roman"/>
                <w:sz w:val="16"/>
              </w:rPr>
              <w:t>1.578</w:t>
            </w:r>
          </w:p>
        </w:tc>
        <w:tc>
          <w:tcPr>
            <w:tcW w:w="710" w:type="dxa"/>
            <w:tcBorders>
              <w:bottom w:val="double" w:sz="4" w:space="0" w:color="auto"/>
            </w:tcBorders>
            <w:tcMar>
              <w:top w:w="28" w:type="dxa"/>
              <w:left w:w="28" w:type="dxa"/>
              <w:bottom w:w="28" w:type="dxa"/>
              <w:right w:w="28" w:type="dxa"/>
            </w:tcMar>
            <w:hideMark/>
          </w:tcPr>
          <w:p w:rsidR="00E12450" w:rsidRPr="008253DD" w:rsidRDefault="00E12450" w:rsidP="00E12450">
            <w:pPr>
              <w:jc w:val="center"/>
              <w:rPr>
                <w:rFonts w:eastAsia="Times New Roman"/>
                <w:sz w:val="16"/>
              </w:rPr>
            </w:pPr>
            <w:r w:rsidRPr="008253DD">
              <w:rPr>
                <w:rFonts w:eastAsia="Times New Roman"/>
                <w:sz w:val="16"/>
              </w:rPr>
              <w:t>72</w:t>
            </w:r>
          </w:p>
        </w:tc>
      </w:tr>
    </w:tbl>
    <w:p w:rsidR="00032A91" w:rsidRDefault="00032A91" w:rsidP="00E12450">
      <w:pPr>
        <w:spacing w:line="288" w:lineRule="auto"/>
        <w:ind w:firstLine="0"/>
      </w:pPr>
    </w:p>
    <w:p w:rsidR="003C5B36" w:rsidRDefault="00283F03">
      <w:pPr>
        <w:spacing w:after="120" w:line="288" w:lineRule="auto"/>
      </w:pPr>
      <w:r>
        <w:t xml:space="preserve">En el cuadro 6 se observa que el principal factor asociado eventos fatales -- evaluado según lift -- es “Sea </w:t>
      </w:r>
      <w:proofErr w:type="spellStart"/>
      <w:r>
        <w:t>Disaster</w:t>
      </w:r>
      <w:proofErr w:type="spellEnd"/>
      <w:r>
        <w:t>”. Este resultado confirma la intuición de que ante una emergencia marítima los medios para evitar un ataque -- o salvarse luego de uno -- son mucho más limitados que en situaciones normales.</w:t>
      </w:r>
    </w:p>
    <w:p w:rsidR="003C5B36" w:rsidRDefault="00283F03">
      <w:pPr>
        <w:spacing w:after="120" w:line="288" w:lineRule="auto"/>
      </w:pPr>
      <w:r>
        <w:t xml:space="preserve">Gran parte de las reglas restantes en las que el consecuente es fatal y el lift es alto incluye al período de ocurrencia en su precedente. En particular, los ataques de fines del siglo XIX y principio del XX tuvieron mayor tasa de fatalidad que lo que se esperaría dadas sus probabilidades individuales. Esto mismo se ve reflejado en la figura 3 del análisis exploratorio, donde se observa que la tendencia de casos fatales es a la baja a lo largo de la </w:t>
      </w:r>
      <w:proofErr w:type="gramStart"/>
      <w:r>
        <w:t>historia</w:t>
      </w:r>
      <w:proofErr w:type="gramEnd"/>
      <w:r>
        <w:t xml:space="preserve"> pero en el período mencionado hay un repunte pronunciado.</w:t>
      </w:r>
    </w:p>
    <w:p w:rsidR="003C5B36" w:rsidRDefault="00283F03">
      <w:pPr>
        <w:spacing w:after="120" w:line="288" w:lineRule="auto"/>
      </w:pPr>
      <w:r>
        <w:t>Por último, se destaca con un lift de 1.58 la relación entre ataques fatales y ataques a hombres adultos en Australia luego del mediodía, independientemente de la época. Sería interesante estudiar la relación entre este resultado y otros atributos relevantes no considerados, como las especies de tiburones de la región o las actividades desarrolladas.</w:t>
      </w:r>
    </w:p>
    <w:p w:rsidR="003C5B36" w:rsidRDefault="00283F03">
      <w:pPr>
        <w:pBdr>
          <w:top w:val="nil"/>
          <w:left w:val="nil"/>
          <w:bottom w:val="nil"/>
          <w:right w:val="nil"/>
          <w:between w:val="nil"/>
        </w:pBdr>
        <w:ind w:firstLine="0"/>
      </w:pPr>
      <w:bookmarkStart w:id="0" w:name="_su6nuwknss0l" w:colFirst="0" w:colLast="0"/>
      <w:bookmarkEnd w:id="0"/>
      <w:r>
        <w:t xml:space="preserve">  </w:t>
      </w:r>
    </w:p>
    <w:p w:rsidR="003C5B36" w:rsidRDefault="00283F03">
      <w:pPr>
        <w:spacing w:after="120" w:line="288" w:lineRule="auto"/>
      </w:pPr>
      <w:r>
        <w:rPr>
          <w:b/>
          <w:sz w:val="22"/>
          <w:szCs w:val="22"/>
        </w:rPr>
        <w:t>Configuración B</w:t>
      </w:r>
    </w:p>
    <w:p w:rsidR="003C5B36" w:rsidRDefault="00283F03">
      <w:pPr>
        <w:spacing w:after="120" w:line="288" w:lineRule="auto"/>
      </w:pPr>
      <w:r>
        <w:t>Para la configuración B del dataset -- casos entre 1990 y 2016 -- se generaron 413 reglas con los criterios especificados previamente. Se presentan las principales reglas según soporte y lift en los cuadros 6 y 7, respectivamente.</w:t>
      </w:r>
    </w:p>
    <w:p w:rsidR="003C5B36" w:rsidRDefault="00283F03">
      <w:pPr>
        <w:spacing w:line="288" w:lineRule="auto"/>
        <w:jc w:val="center"/>
        <w:rPr>
          <w:b/>
        </w:rPr>
      </w:pPr>
      <w:r>
        <w:rPr>
          <w:b/>
        </w:rPr>
        <w:t xml:space="preserve">Cuadro </w:t>
      </w:r>
      <w:r w:rsidRPr="00E12450">
        <w:rPr>
          <w:b/>
        </w:rPr>
        <w:t>6. Diez reglas con mayor</w:t>
      </w:r>
      <w:r>
        <w:rPr>
          <w:b/>
        </w:rPr>
        <w:t xml:space="preserve"> soporte (configuración B)</w:t>
      </w:r>
    </w:p>
    <w:tbl>
      <w:tblPr>
        <w:tblW w:w="0" w:type="auto"/>
        <w:jc w:val="center"/>
        <w:tblCellMar>
          <w:top w:w="15" w:type="dxa"/>
          <w:left w:w="15" w:type="dxa"/>
          <w:bottom w:w="15" w:type="dxa"/>
          <w:right w:w="15" w:type="dxa"/>
        </w:tblCellMar>
        <w:tblLook w:val="04A0" w:firstRow="1" w:lastRow="0" w:firstColumn="1" w:lastColumn="0" w:noHBand="0" w:noVBand="1"/>
      </w:tblPr>
      <w:tblGrid>
        <w:gridCol w:w="2849"/>
        <w:gridCol w:w="851"/>
        <w:gridCol w:w="991"/>
        <w:gridCol w:w="710"/>
        <w:gridCol w:w="1217"/>
      </w:tblGrid>
      <w:tr w:rsidR="0033498E" w:rsidRPr="008253DD" w:rsidTr="0033498E">
        <w:trPr>
          <w:jc w:val="center"/>
        </w:trPr>
        <w:tc>
          <w:tcPr>
            <w:tcW w:w="2849" w:type="dxa"/>
            <w:tcBorders>
              <w:top w:val="double" w:sz="6" w:space="0" w:color="auto"/>
              <w:bottom w:val="single" w:sz="6" w:space="0" w:color="000000"/>
            </w:tcBorders>
            <w:tcMar>
              <w:top w:w="28" w:type="dxa"/>
              <w:left w:w="28" w:type="dxa"/>
              <w:bottom w:w="28" w:type="dxa"/>
              <w:right w:w="28" w:type="dxa"/>
            </w:tcMar>
            <w:vAlign w:val="center"/>
            <w:hideMark/>
          </w:tcPr>
          <w:p w:rsidR="00E12450" w:rsidRPr="008253DD" w:rsidRDefault="00E12450" w:rsidP="00283F03">
            <w:pPr>
              <w:jc w:val="center"/>
              <w:rPr>
                <w:rFonts w:eastAsia="Times New Roman"/>
                <w:i/>
                <w:iCs/>
                <w:sz w:val="16"/>
                <w:szCs w:val="24"/>
              </w:rPr>
            </w:pPr>
            <w:r w:rsidRPr="008253DD">
              <w:rPr>
                <w:rFonts w:eastAsia="Times New Roman"/>
                <w:i/>
                <w:iCs/>
                <w:sz w:val="16"/>
              </w:rPr>
              <w:t>rules</w:t>
            </w:r>
          </w:p>
        </w:tc>
        <w:tc>
          <w:tcPr>
            <w:tcW w:w="851" w:type="dxa"/>
            <w:tcBorders>
              <w:top w:val="double" w:sz="6" w:space="0" w:color="auto"/>
              <w:bottom w:val="single" w:sz="6" w:space="0" w:color="000000"/>
            </w:tcBorders>
            <w:tcMar>
              <w:top w:w="28" w:type="dxa"/>
              <w:left w:w="28" w:type="dxa"/>
              <w:bottom w:w="28" w:type="dxa"/>
              <w:right w:w="28" w:type="dxa"/>
            </w:tcMar>
            <w:vAlign w:val="center"/>
            <w:hideMark/>
          </w:tcPr>
          <w:p w:rsidR="00E12450" w:rsidRPr="008253DD" w:rsidRDefault="00E12450" w:rsidP="00283F03">
            <w:pPr>
              <w:jc w:val="center"/>
              <w:rPr>
                <w:rFonts w:eastAsia="Times New Roman"/>
                <w:i/>
                <w:iCs/>
                <w:sz w:val="16"/>
              </w:rPr>
            </w:pPr>
            <w:proofErr w:type="spellStart"/>
            <w:r w:rsidRPr="008253DD">
              <w:rPr>
                <w:rFonts w:eastAsia="Times New Roman"/>
                <w:i/>
                <w:iCs/>
                <w:sz w:val="16"/>
              </w:rPr>
              <w:t>support</w:t>
            </w:r>
            <w:proofErr w:type="spellEnd"/>
          </w:p>
        </w:tc>
        <w:tc>
          <w:tcPr>
            <w:tcW w:w="991" w:type="dxa"/>
            <w:tcBorders>
              <w:top w:val="double" w:sz="6" w:space="0" w:color="auto"/>
              <w:bottom w:val="single" w:sz="6" w:space="0" w:color="000000"/>
            </w:tcBorders>
            <w:tcMar>
              <w:top w:w="28" w:type="dxa"/>
              <w:left w:w="28" w:type="dxa"/>
              <w:bottom w:w="28" w:type="dxa"/>
              <w:right w:w="28" w:type="dxa"/>
            </w:tcMar>
            <w:vAlign w:val="center"/>
            <w:hideMark/>
          </w:tcPr>
          <w:p w:rsidR="00E12450" w:rsidRPr="008253DD" w:rsidRDefault="00E12450" w:rsidP="00283F03">
            <w:pPr>
              <w:jc w:val="center"/>
              <w:rPr>
                <w:rFonts w:eastAsia="Times New Roman"/>
                <w:i/>
                <w:iCs/>
                <w:sz w:val="16"/>
              </w:rPr>
            </w:pPr>
            <w:proofErr w:type="spellStart"/>
            <w:r w:rsidRPr="008253DD">
              <w:rPr>
                <w:rFonts w:eastAsia="Times New Roman"/>
                <w:i/>
                <w:iCs/>
                <w:sz w:val="16"/>
              </w:rPr>
              <w:t>confidence</w:t>
            </w:r>
            <w:proofErr w:type="spellEnd"/>
          </w:p>
        </w:tc>
        <w:tc>
          <w:tcPr>
            <w:tcW w:w="710" w:type="dxa"/>
            <w:tcBorders>
              <w:top w:val="double" w:sz="6" w:space="0" w:color="auto"/>
              <w:bottom w:val="single" w:sz="6" w:space="0" w:color="000000"/>
            </w:tcBorders>
            <w:tcMar>
              <w:top w:w="28" w:type="dxa"/>
              <w:left w:w="28" w:type="dxa"/>
              <w:bottom w:w="28" w:type="dxa"/>
              <w:right w:w="28" w:type="dxa"/>
            </w:tcMar>
            <w:vAlign w:val="center"/>
            <w:hideMark/>
          </w:tcPr>
          <w:p w:rsidR="00E12450" w:rsidRPr="008253DD" w:rsidRDefault="00E12450" w:rsidP="00283F03">
            <w:pPr>
              <w:jc w:val="center"/>
              <w:rPr>
                <w:rFonts w:eastAsia="Times New Roman"/>
                <w:i/>
                <w:iCs/>
                <w:sz w:val="16"/>
              </w:rPr>
            </w:pPr>
            <w:r w:rsidRPr="008253DD">
              <w:rPr>
                <w:rFonts w:eastAsia="Times New Roman"/>
                <w:i/>
                <w:iCs/>
                <w:sz w:val="16"/>
              </w:rPr>
              <w:t>lift</w:t>
            </w:r>
          </w:p>
        </w:tc>
        <w:tc>
          <w:tcPr>
            <w:tcW w:w="1217" w:type="dxa"/>
            <w:tcBorders>
              <w:top w:val="double" w:sz="6" w:space="0" w:color="auto"/>
              <w:bottom w:val="single" w:sz="6" w:space="0" w:color="000000"/>
            </w:tcBorders>
            <w:tcMar>
              <w:top w:w="28" w:type="dxa"/>
              <w:left w:w="28" w:type="dxa"/>
              <w:bottom w:w="28" w:type="dxa"/>
              <w:right w:w="28" w:type="dxa"/>
            </w:tcMar>
            <w:vAlign w:val="center"/>
            <w:hideMark/>
          </w:tcPr>
          <w:p w:rsidR="00E12450" w:rsidRPr="008253DD" w:rsidRDefault="00E12450" w:rsidP="00283F03">
            <w:pPr>
              <w:jc w:val="center"/>
              <w:rPr>
                <w:rFonts w:eastAsia="Times New Roman"/>
                <w:i/>
                <w:iCs/>
                <w:sz w:val="16"/>
              </w:rPr>
            </w:pPr>
            <w:proofErr w:type="spellStart"/>
            <w:r w:rsidRPr="008253DD">
              <w:rPr>
                <w:rFonts w:eastAsia="Times New Roman"/>
                <w:i/>
                <w:iCs/>
                <w:sz w:val="16"/>
              </w:rPr>
              <w:t>count</w:t>
            </w:r>
            <w:proofErr w:type="spellEnd"/>
          </w:p>
        </w:tc>
      </w:tr>
      <w:tr w:rsidR="0033498E" w:rsidRPr="008253DD" w:rsidTr="0033498E">
        <w:trPr>
          <w:jc w:val="center"/>
        </w:trPr>
        <w:tc>
          <w:tcPr>
            <w:tcW w:w="2849"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w:t>
            </w:r>
            <w:proofErr w:type="spellStart"/>
            <w:r w:rsidRPr="008253DD">
              <w:rPr>
                <w:rFonts w:eastAsia="Times New Roman"/>
                <w:sz w:val="16"/>
              </w:rPr>
              <w:t>Type</w:t>
            </w:r>
            <w:proofErr w:type="spellEnd"/>
            <w:r w:rsidRPr="008253DD">
              <w:rPr>
                <w:rFonts w:eastAsia="Times New Roman"/>
                <w:sz w:val="16"/>
              </w:rPr>
              <w:t>=</w:t>
            </w:r>
            <w:proofErr w:type="spellStart"/>
            <w:r w:rsidRPr="008253DD">
              <w:rPr>
                <w:rFonts w:eastAsia="Times New Roman"/>
                <w:sz w:val="16"/>
              </w:rPr>
              <w:t>Unprovoked</w:t>
            </w:r>
            <w:proofErr w:type="spellEnd"/>
            <w:r w:rsidRPr="008253DD">
              <w:rPr>
                <w:rFonts w:eastAsia="Times New Roman"/>
                <w:sz w:val="16"/>
              </w:rPr>
              <w:t>} =&gt; {fatal=no}</w:t>
            </w:r>
          </w:p>
        </w:tc>
        <w:tc>
          <w:tcPr>
            <w:tcW w:w="851"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0.703</w:t>
            </w:r>
          </w:p>
        </w:tc>
        <w:tc>
          <w:tcPr>
            <w:tcW w:w="991"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0.872</w:t>
            </w:r>
          </w:p>
        </w:tc>
        <w:tc>
          <w:tcPr>
            <w:tcW w:w="710"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1.013</w:t>
            </w:r>
          </w:p>
        </w:tc>
        <w:tc>
          <w:tcPr>
            <w:tcW w:w="1217"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1615</w:t>
            </w:r>
          </w:p>
        </w:tc>
      </w:tr>
      <w:tr w:rsidR="0033498E" w:rsidRPr="008253DD" w:rsidTr="0033498E">
        <w:trPr>
          <w:jc w:val="center"/>
        </w:trPr>
        <w:tc>
          <w:tcPr>
            <w:tcW w:w="2849"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{fatal=no} =&gt; {</w:t>
            </w:r>
            <w:proofErr w:type="spellStart"/>
            <w:r w:rsidRPr="008253DD">
              <w:rPr>
                <w:rFonts w:eastAsia="Times New Roman"/>
                <w:sz w:val="16"/>
              </w:rPr>
              <w:t>Type</w:t>
            </w:r>
            <w:proofErr w:type="spellEnd"/>
            <w:r w:rsidRPr="008253DD">
              <w:rPr>
                <w:rFonts w:eastAsia="Times New Roman"/>
                <w:sz w:val="16"/>
              </w:rPr>
              <w:t>=</w:t>
            </w:r>
            <w:proofErr w:type="spellStart"/>
            <w:r w:rsidRPr="008253DD">
              <w:rPr>
                <w:rFonts w:eastAsia="Times New Roman"/>
                <w:sz w:val="16"/>
              </w:rPr>
              <w:t>Unprovoked</w:t>
            </w:r>
            <w:proofErr w:type="spellEnd"/>
            <w:r w:rsidRPr="008253DD">
              <w:rPr>
                <w:rFonts w:eastAsia="Times New Roman"/>
                <w:sz w:val="16"/>
              </w:rPr>
              <w:t>}</w:t>
            </w:r>
          </w:p>
        </w:tc>
        <w:tc>
          <w:tcPr>
            <w:tcW w:w="851"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0.703</w:t>
            </w:r>
          </w:p>
        </w:tc>
        <w:tc>
          <w:tcPr>
            <w:tcW w:w="991"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0.816</w:t>
            </w:r>
          </w:p>
        </w:tc>
        <w:tc>
          <w:tcPr>
            <w:tcW w:w="710"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1.013</w:t>
            </w:r>
          </w:p>
        </w:tc>
        <w:tc>
          <w:tcPr>
            <w:tcW w:w="1217"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1615</w:t>
            </w:r>
          </w:p>
        </w:tc>
      </w:tr>
      <w:tr w:rsidR="0033498E" w:rsidRPr="008253DD" w:rsidTr="0033498E">
        <w:trPr>
          <w:jc w:val="center"/>
        </w:trPr>
        <w:tc>
          <w:tcPr>
            <w:tcW w:w="2849"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{sexo=M} =&gt; {fatal=no}</w:t>
            </w:r>
          </w:p>
        </w:tc>
        <w:tc>
          <w:tcPr>
            <w:tcW w:w="851"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0.677</w:t>
            </w:r>
          </w:p>
        </w:tc>
        <w:tc>
          <w:tcPr>
            <w:tcW w:w="991"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0.859</w:t>
            </w:r>
          </w:p>
        </w:tc>
        <w:tc>
          <w:tcPr>
            <w:tcW w:w="710"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0.998</w:t>
            </w:r>
          </w:p>
        </w:tc>
        <w:tc>
          <w:tcPr>
            <w:tcW w:w="1217"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1555</w:t>
            </w:r>
          </w:p>
        </w:tc>
      </w:tr>
      <w:tr w:rsidR="0033498E" w:rsidRPr="008253DD" w:rsidTr="0033498E">
        <w:trPr>
          <w:jc w:val="center"/>
        </w:trPr>
        <w:tc>
          <w:tcPr>
            <w:tcW w:w="2849"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{fatal=no} =&gt; {sexo=M}</w:t>
            </w:r>
          </w:p>
        </w:tc>
        <w:tc>
          <w:tcPr>
            <w:tcW w:w="851"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0.677</w:t>
            </w:r>
          </w:p>
        </w:tc>
        <w:tc>
          <w:tcPr>
            <w:tcW w:w="991"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0.786</w:t>
            </w:r>
          </w:p>
        </w:tc>
        <w:tc>
          <w:tcPr>
            <w:tcW w:w="710"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0.998</w:t>
            </w:r>
          </w:p>
        </w:tc>
        <w:tc>
          <w:tcPr>
            <w:tcW w:w="1217"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1555</w:t>
            </w:r>
          </w:p>
        </w:tc>
      </w:tr>
      <w:tr w:rsidR="0033498E" w:rsidRPr="008253DD" w:rsidTr="0033498E">
        <w:trPr>
          <w:jc w:val="center"/>
        </w:trPr>
        <w:tc>
          <w:tcPr>
            <w:tcW w:w="2849"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{sexo=M} =&gt; {</w:t>
            </w:r>
            <w:proofErr w:type="spellStart"/>
            <w:r w:rsidRPr="008253DD">
              <w:rPr>
                <w:rFonts w:eastAsia="Times New Roman"/>
                <w:sz w:val="16"/>
              </w:rPr>
              <w:t>Type</w:t>
            </w:r>
            <w:proofErr w:type="spellEnd"/>
            <w:r w:rsidRPr="008253DD">
              <w:rPr>
                <w:rFonts w:eastAsia="Times New Roman"/>
                <w:sz w:val="16"/>
              </w:rPr>
              <w:t>=</w:t>
            </w:r>
            <w:proofErr w:type="spellStart"/>
            <w:r w:rsidRPr="008253DD">
              <w:rPr>
                <w:rFonts w:eastAsia="Times New Roman"/>
                <w:sz w:val="16"/>
              </w:rPr>
              <w:t>Unprovoked</w:t>
            </w:r>
            <w:proofErr w:type="spellEnd"/>
            <w:r w:rsidRPr="008253DD">
              <w:rPr>
                <w:rFonts w:eastAsia="Times New Roman"/>
                <w:sz w:val="16"/>
              </w:rPr>
              <w:t>}</w:t>
            </w:r>
          </w:p>
        </w:tc>
        <w:tc>
          <w:tcPr>
            <w:tcW w:w="851"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0.648</w:t>
            </w:r>
          </w:p>
        </w:tc>
        <w:tc>
          <w:tcPr>
            <w:tcW w:w="991"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0.822</w:t>
            </w:r>
          </w:p>
        </w:tc>
        <w:tc>
          <w:tcPr>
            <w:tcW w:w="710"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1.02</w:t>
            </w:r>
          </w:p>
        </w:tc>
        <w:tc>
          <w:tcPr>
            <w:tcW w:w="1217"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1488</w:t>
            </w:r>
          </w:p>
        </w:tc>
      </w:tr>
      <w:tr w:rsidR="0033498E" w:rsidRPr="008253DD" w:rsidTr="0033498E">
        <w:trPr>
          <w:jc w:val="center"/>
        </w:trPr>
        <w:tc>
          <w:tcPr>
            <w:tcW w:w="2849"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w:t>
            </w:r>
            <w:proofErr w:type="spellStart"/>
            <w:r w:rsidRPr="008253DD">
              <w:rPr>
                <w:rFonts w:eastAsia="Times New Roman"/>
                <w:sz w:val="16"/>
              </w:rPr>
              <w:t>Type</w:t>
            </w:r>
            <w:proofErr w:type="spellEnd"/>
            <w:r w:rsidRPr="008253DD">
              <w:rPr>
                <w:rFonts w:eastAsia="Times New Roman"/>
                <w:sz w:val="16"/>
              </w:rPr>
              <w:t>=</w:t>
            </w:r>
            <w:proofErr w:type="spellStart"/>
            <w:r w:rsidRPr="008253DD">
              <w:rPr>
                <w:rFonts w:eastAsia="Times New Roman"/>
                <w:sz w:val="16"/>
              </w:rPr>
              <w:t>Unprovoked</w:t>
            </w:r>
            <w:proofErr w:type="spellEnd"/>
            <w:r w:rsidRPr="008253DD">
              <w:rPr>
                <w:rFonts w:eastAsia="Times New Roman"/>
                <w:sz w:val="16"/>
              </w:rPr>
              <w:t>} =&gt; {sexo=M}</w:t>
            </w:r>
          </w:p>
        </w:tc>
        <w:tc>
          <w:tcPr>
            <w:tcW w:w="851"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0.648</w:t>
            </w:r>
          </w:p>
        </w:tc>
        <w:tc>
          <w:tcPr>
            <w:tcW w:w="991"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0.803</w:t>
            </w:r>
          </w:p>
        </w:tc>
        <w:tc>
          <w:tcPr>
            <w:tcW w:w="710"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1.02</w:t>
            </w:r>
          </w:p>
        </w:tc>
        <w:tc>
          <w:tcPr>
            <w:tcW w:w="1217"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1488</w:t>
            </w:r>
          </w:p>
        </w:tc>
      </w:tr>
      <w:tr w:rsidR="0033498E" w:rsidRPr="008253DD" w:rsidTr="0033498E">
        <w:trPr>
          <w:jc w:val="center"/>
        </w:trPr>
        <w:tc>
          <w:tcPr>
            <w:tcW w:w="2849" w:type="dxa"/>
            <w:tcMar>
              <w:top w:w="28" w:type="dxa"/>
              <w:left w:w="28" w:type="dxa"/>
              <w:bottom w:w="28" w:type="dxa"/>
              <w:right w:w="28" w:type="dxa"/>
            </w:tcMar>
            <w:hideMark/>
          </w:tcPr>
          <w:p w:rsidR="00E12450" w:rsidRPr="008253DD" w:rsidRDefault="00E12450" w:rsidP="00283F03">
            <w:pPr>
              <w:jc w:val="center"/>
              <w:rPr>
                <w:rFonts w:eastAsia="Times New Roman"/>
                <w:sz w:val="16"/>
                <w:lang w:val="en-US"/>
              </w:rPr>
            </w:pPr>
            <w:r w:rsidRPr="008253DD">
              <w:rPr>
                <w:rFonts w:eastAsia="Times New Roman"/>
                <w:sz w:val="16"/>
                <w:lang w:val="en-US"/>
              </w:rPr>
              <w:t>{Type=</w:t>
            </w:r>
            <w:proofErr w:type="spellStart"/>
            <w:proofErr w:type="gramStart"/>
            <w:r w:rsidRPr="008253DD">
              <w:rPr>
                <w:rFonts w:eastAsia="Times New Roman"/>
                <w:sz w:val="16"/>
                <w:lang w:val="en-US"/>
              </w:rPr>
              <w:t>Unprovoked,sexo</w:t>
            </w:r>
            <w:proofErr w:type="spellEnd"/>
            <w:proofErr w:type="gramEnd"/>
            <w:r w:rsidRPr="008253DD">
              <w:rPr>
                <w:rFonts w:eastAsia="Times New Roman"/>
                <w:sz w:val="16"/>
                <w:lang w:val="en-US"/>
              </w:rPr>
              <w:t>=M} =&gt; {fatal=no}</w:t>
            </w:r>
          </w:p>
        </w:tc>
        <w:tc>
          <w:tcPr>
            <w:tcW w:w="851"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0.565</w:t>
            </w:r>
          </w:p>
        </w:tc>
        <w:tc>
          <w:tcPr>
            <w:tcW w:w="991"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0.873</w:t>
            </w:r>
          </w:p>
        </w:tc>
        <w:tc>
          <w:tcPr>
            <w:tcW w:w="710"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1.014</w:t>
            </w:r>
          </w:p>
        </w:tc>
        <w:tc>
          <w:tcPr>
            <w:tcW w:w="1217"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1299</w:t>
            </w:r>
          </w:p>
        </w:tc>
      </w:tr>
      <w:tr w:rsidR="0033498E" w:rsidRPr="008253DD" w:rsidTr="0033498E">
        <w:trPr>
          <w:jc w:val="center"/>
        </w:trPr>
        <w:tc>
          <w:tcPr>
            <w:tcW w:w="2849" w:type="dxa"/>
            <w:tcMar>
              <w:top w:w="28" w:type="dxa"/>
              <w:left w:w="28" w:type="dxa"/>
              <w:bottom w:w="28" w:type="dxa"/>
              <w:right w:w="28" w:type="dxa"/>
            </w:tcMar>
            <w:hideMark/>
          </w:tcPr>
          <w:p w:rsidR="00E12450" w:rsidRPr="008253DD" w:rsidRDefault="00E12450" w:rsidP="00283F03">
            <w:pPr>
              <w:jc w:val="center"/>
              <w:rPr>
                <w:rFonts w:eastAsia="Times New Roman"/>
                <w:sz w:val="16"/>
                <w:lang w:val="en-US"/>
              </w:rPr>
            </w:pPr>
            <w:r w:rsidRPr="008253DD">
              <w:rPr>
                <w:rFonts w:eastAsia="Times New Roman"/>
                <w:sz w:val="16"/>
                <w:lang w:val="en-US"/>
              </w:rPr>
              <w:t>{</w:t>
            </w:r>
            <w:proofErr w:type="spellStart"/>
            <w:r w:rsidRPr="008253DD">
              <w:rPr>
                <w:rFonts w:eastAsia="Times New Roman"/>
                <w:sz w:val="16"/>
                <w:lang w:val="en-US"/>
              </w:rPr>
              <w:t>sexo</w:t>
            </w:r>
            <w:proofErr w:type="spellEnd"/>
            <w:r w:rsidRPr="008253DD">
              <w:rPr>
                <w:rFonts w:eastAsia="Times New Roman"/>
                <w:sz w:val="16"/>
                <w:lang w:val="en-US"/>
              </w:rPr>
              <w:t>=</w:t>
            </w:r>
            <w:proofErr w:type="spellStart"/>
            <w:proofErr w:type="gramStart"/>
            <w:r w:rsidRPr="008253DD">
              <w:rPr>
                <w:rFonts w:eastAsia="Times New Roman"/>
                <w:sz w:val="16"/>
                <w:lang w:val="en-US"/>
              </w:rPr>
              <w:t>M,fatal</w:t>
            </w:r>
            <w:proofErr w:type="spellEnd"/>
            <w:proofErr w:type="gramEnd"/>
            <w:r w:rsidRPr="008253DD">
              <w:rPr>
                <w:rFonts w:eastAsia="Times New Roman"/>
                <w:sz w:val="16"/>
                <w:lang w:val="en-US"/>
              </w:rPr>
              <w:t>=no} =&gt; {Type=Unprovoked}</w:t>
            </w:r>
          </w:p>
        </w:tc>
        <w:tc>
          <w:tcPr>
            <w:tcW w:w="851"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0.565</w:t>
            </w:r>
          </w:p>
        </w:tc>
        <w:tc>
          <w:tcPr>
            <w:tcW w:w="991"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0.835</w:t>
            </w:r>
          </w:p>
        </w:tc>
        <w:tc>
          <w:tcPr>
            <w:tcW w:w="710"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1.036</w:t>
            </w:r>
          </w:p>
        </w:tc>
        <w:tc>
          <w:tcPr>
            <w:tcW w:w="1217"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1299</w:t>
            </w:r>
          </w:p>
        </w:tc>
      </w:tr>
      <w:tr w:rsidR="0033498E" w:rsidRPr="008253DD" w:rsidTr="0033498E">
        <w:trPr>
          <w:jc w:val="center"/>
        </w:trPr>
        <w:tc>
          <w:tcPr>
            <w:tcW w:w="2849" w:type="dxa"/>
            <w:tcMar>
              <w:top w:w="28" w:type="dxa"/>
              <w:left w:w="28" w:type="dxa"/>
              <w:bottom w:w="28" w:type="dxa"/>
              <w:right w:w="28" w:type="dxa"/>
            </w:tcMar>
            <w:hideMark/>
          </w:tcPr>
          <w:p w:rsidR="00E12450" w:rsidRPr="008253DD" w:rsidRDefault="00E12450" w:rsidP="00283F03">
            <w:pPr>
              <w:jc w:val="center"/>
              <w:rPr>
                <w:rFonts w:eastAsia="Times New Roman"/>
                <w:sz w:val="16"/>
                <w:lang w:val="en-US"/>
              </w:rPr>
            </w:pPr>
            <w:r w:rsidRPr="008253DD">
              <w:rPr>
                <w:rFonts w:eastAsia="Times New Roman"/>
                <w:sz w:val="16"/>
                <w:lang w:val="en-US"/>
              </w:rPr>
              <w:t>{Type=</w:t>
            </w:r>
            <w:proofErr w:type="spellStart"/>
            <w:proofErr w:type="gramStart"/>
            <w:r w:rsidRPr="008253DD">
              <w:rPr>
                <w:rFonts w:eastAsia="Times New Roman"/>
                <w:sz w:val="16"/>
                <w:lang w:val="en-US"/>
              </w:rPr>
              <w:t>Unprovoked,fatal</w:t>
            </w:r>
            <w:proofErr w:type="spellEnd"/>
            <w:proofErr w:type="gramEnd"/>
            <w:r w:rsidRPr="008253DD">
              <w:rPr>
                <w:rFonts w:eastAsia="Times New Roman"/>
                <w:sz w:val="16"/>
                <w:lang w:val="en-US"/>
              </w:rPr>
              <w:t>=no} =&gt; {</w:t>
            </w:r>
            <w:proofErr w:type="spellStart"/>
            <w:r w:rsidRPr="008253DD">
              <w:rPr>
                <w:rFonts w:eastAsia="Times New Roman"/>
                <w:sz w:val="16"/>
                <w:lang w:val="en-US"/>
              </w:rPr>
              <w:t>sexo</w:t>
            </w:r>
            <w:proofErr w:type="spellEnd"/>
            <w:r w:rsidRPr="008253DD">
              <w:rPr>
                <w:rFonts w:eastAsia="Times New Roman"/>
                <w:sz w:val="16"/>
                <w:lang w:val="en-US"/>
              </w:rPr>
              <w:t>=M}</w:t>
            </w:r>
          </w:p>
        </w:tc>
        <w:tc>
          <w:tcPr>
            <w:tcW w:w="851"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0.565</w:t>
            </w:r>
          </w:p>
        </w:tc>
        <w:tc>
          <w:tcPr>
            <w:tcW w:w="991"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0.804</w:t>
            </w:r>
          </w:p>
        </w:tc>
        <w:tc>
          <w:tcPr>
            <w:tcW w:w="710"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1.021</w:t>
            </w:r>
          </w:p>
        </w:tc>
        <w:tc>
          <w:tcPr>
            <w:tcW w:w="1217" w:type="dxa"/>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1299</w:t>
            </w:r>
          </w:p>
        </w:tc>
      </w:tr>
      <w:tr w:rsidR="0033498E" w:rsidRPr="008253DD" w:rsidTr="0033498E">
        <w:trPr>
          <w:jc w:val="center"/>
        </w:trPr>
        <w:tc>
          <w:tcPr>
            <w:tcW w:w="2849" w:type="dxa"/>
            <w:tcBorders>
              <w:bottom w:val="double" w:sz="6" w:space="0" w:color="auto"/>
            </w:tcBorders>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w:t>
            </w:r>
            <w:proofErr w:type="spellStart"/>
            <w:r w:rsidRPr="008253DD">
              <w:rPr>
                <w:rFonts w:eastAsia="Times New Roman"/>
                <w:sz w:val="16"/>
              </w:rPr>
              <w:t>region</w:t>
            </w:r>
            <w:proofErr w:type="spellEnd"/>
            <w:r w:rsidRPr="008253DD">
              <w:rPr>
                <w:rFonts w:eastAsia="Times New Roman"/>
                <w:sz w:val="16"/>
              </w:rPr>
              <w:t>=USA} =&gt; {fatal=no}</w:t>
            </w:r>
          </w:p>
        </w:tc>
        <w:tc>
          <w:tcPr>
            <w:tcW w:w="851" w:type="dxa"/>
            <w:tcBorders>
              <w:bottom w:val="double" w:sz="6" w:space="0" w:color="auto"/>
            </w:tcBorders>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0.47</w:t>
            </w:r>
          </w:p>
        </w:tc>
        <w:tc>
          <w:tcPr>
            <w:tcW w:w="991" w:type="dxa"/>
            <w:tcBorders>
              <w:bottom w:val="double" w:sz="6" w:space="0" w:color="auto"/>
            </w:tcBorders>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0.953</w:t>
            </w:r>
          </w:p>
        </w:tc>
        <w:tc>
          <w:tcPr>
            <w:tcW w:w="710" w:type="dxa"/>
            <w:tcBorders>
              <w:bottom w:val="double" w:sz="6" w:space="0" w:color="auto"/>
            </w:tcBorders>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1.107</w:t>
            </w:r>
          </w:p>
        </w:tc>
        <w:tc>
          <w:tcPr>
            <w:tcW w:w="1217" w:type="dxa"/>
            <w:tcBorders>
              <w:bottom w:val="double" w:sz="6" w:space="0" w:color="auto"/>
            </w:tcBorders>
            <w:tcMar>
              <w:top w:w="28" w:type="dxa"/>
              <w:left w:w="28" w:type="dxa"/>
              <w:bottom w:w="28" w:type="dxa"/>
              <w:right w:w="28" w:type="dxa"/>
            </w:tcMar>
            <w:hideMark/>
          </w:tcPr>
          <w:p w:rsidR="00E12450" w:rsidRPr="008253DD" w:rsidRDefault="00E12450" w:rsidP="00283F03">
            <w:pPr>
              <w:jc w:val="center"/>
              <w:rPr>
                <w:rFonts w:eastAsia="Times New Roman"/>
                <w:sz w:val="16"/>
              </w:rPr>
            </w:pPr>
            <w:r w:rsidRPr="008253DD">
              <w:rPr>
                <w:rFonts w:eastAsia="Times New Roman"/>
                <w:sz w:val="16"/>
              </w:rPr>
              <w:t>1080</w:t>
            </w:r>
          </w:p>
        </w:tc>
      </w:tr>
    </w:tbl>
    <w:p w:rsidR="00E12450" w:rsidRDefault="00E12450">
      <w:pPr>
        <w:spacing w:line="288" w:lineRule="auto"/>
        <w:jc w:val="center"/>
        <w:rPr>
          <w:b/>
        </w:rPr>
      </w:pPr>
    </w:p>
    <w:p w:rsidR="008253DD" w:rsidRDefault="008253DD">
      <w:pPr>
        <w:spacing w:line="288" w:lineRule="auto"/>
        <w:jc w:val="center"/>
        <w:rPr>
          <w:b/>
        </w:rPr>
      </w:pPr>
    </w:p>
    <w:p w:rsidR="008253DD" w:rsidRDefault="008253DD">
      <w:pPr>
        <w:spacing w:line="288" w:lineRule="auto"/>
        <w:jc w:val="center"/>
        <w:rPr>
          <w:b/>
        </w:rPr>
      </w:pPr>
      <w:bookmarkStart w:id="1" w:name="_GoBack"/>
      <w:bookmarkEnd w:id="1"/>
    </w:p>
    <w:p w:rsidR="003C5B36" w:rsidRDefault="00283F03">
      <w:pPr>
        <w:spacing w:line="288" w:lineRule="auto"/>
        <w:jc w:val="center"/>
        <w:rPr>
          <w:b/>
        </w:rPr>
      </w:pPr>
      <w:r w:rsidRPr="0033498E">
        <w:rPr>
          <w:b/>
        </w:rPr>
        <w:lastRenderedPageBreak/>
        <w:t>Cuadro 7. Diez reglas</w:t>
      </w:r>
      <w:r>
        <w:rPr>
          <w:b/>
        </w:rPr>
        <w:t xml:space="preserve"> con mayor lift (configuración B)</w:t>
      </w:r>
    </w:p>
    <w:tbl>
      <w:tblPr>
        <w:tblW w:w="6662" w:type="dxa"/>
        <w:tblInd w:w="170" w:type="dxa"/>
        <w:tblLayout w:type="fixed"/>
        <w:tblCellMar>
          <w:top w:w="15" w:type="dxa"/>
          <w:left w:w="15" w:type="dxa"/>
          <w:bottom w:w="15" w:type="dxa"/>
          <w:right w:w="15" w:type="dxa"/>
        </w:tblCellMar>
        <w:tblLook w:val="04A0" w:firstRow="1" w:lastRow="0" w:firstColumn="1" w:lastColumn="0" w:noHBand="0" w:noVBand="1"/>
      </w:tblPr>
      <w:tblGrid>
        <w:gridCol w:w="3260"/>
        <w:gridCol w:w="851"/>
        <w:gridCol w:w="992"/>
        <w:gridCol w:w="709"/>
        <w:gridCol w:w="850"/>
      </w:tblGrid>
      <w:tr w:rsidR="0033498E" w:rsidRPr="008253DD" w:rsidTr="0033498E">
        <w:tc>
          <w:tcPr>
            <w:tcW w:w="3260" w:type="dxa"/>
            <w:tcBorders>
              <w:top w:val="double" w:sz="6" w:space="0" w:color="auto"/>
              <w:bottom w:val="single" w:sz="6" w:space="0" w:color="000000"/>
            </w:tcBorders>
            <w:tcMar>
              <w:top w:w="28" w:type="dxa"/>
              <w:left w:w="28" w:type="dxa"/>
              <w:bottom w:w="28" w:type="dxa"/>
              <w:right w:w="28" w:type="dxa"/>
            </w:tcMar>
            <w:vAlign w:val="center"/>
            <w:hideMark/>
          </w:tcPr>
          <w:p w:rsidR="0033498E" w:rsidRPr="008253DD" w:rsidRDefault="0033498E" w:rsidP="00283F03">
            <w:pPr>
              <w:jc w:val="center"/>
              <w:rPr>
                <w:rFonts w:eastAsia="Times New Roman"/>
                <w:i/>
                <w:iCs/>
                <w:sz w:val="16"/>
                <w:szCs w:val="24"/>
              </w:rPr>
            </w:pPr>
            <w:r w:rsidRPr="008253DD">
              <w:rPr>
                <w:rFonts w:eastAsia="Times New Roman"/>
                <w:i/>
                <w:iCs/>
                <w:sz w:val="16"/>
              </w:rPr>
              <w:t>rules</w:t>
            </w:r>
          </w:p>
        </w:tc>
        <w:tc>
          <w:tcPr>
            <w:tcW w:w="851" w:type="dxa"/>
            <w:tcBorders>
              <w:top w:val="double" w:sz="6" w:space="0" w:color="auto"/>
              <w:bottom w:val="single" w:sz="6" w:space="0" w:color="000000"/>
            </w:tcBorders>
            <w:tcMar>
              <w:top w:w="28" w:type="dxa"/>
              <w:left w:w="28" w:type="dxa"/>
              <w:bottom w:w="28" w:type="dxa"/>
              <w:right w:w="28" w:type="dxa"/>
            </w:tcMar>
            <w:vAlign w:val="center"/>
            <w:hideMark/>
          </w:tcPr>
          <w:p w:rsidR="0033498E" w:rsidRPr="008253DD" w:rsidRDefault="0033498E" w:rsidP="00283F03">
            <w:pPr>
              <w:jc w:val="center"/>
              <w:rPr>
                <w:rFonts w:eastAsia="Times New Roman"/>
                <w:i/>
                <w:iCs/>
                <w:sz w:val="16"/>
              </w:rPr>
            </w:pPr>
            <w:proofErr w:type="spellStart"/>
            <w:r w:rsidRPr="008253DD">
              <w:rPr>
                <w:rFonts w:eastAsia="Times New Roman"/>
                <w:i/>
                <w:iCs/>
                <w:sz w:val="16"/>
              </w:rPr>
              <w:t>support</w:t>
            </w:r>
            <w:proofErr w:type="spellEnd"/>
          </w:p>
        </w:tc>
        <w:tc>
          <w:tcPr>
            <w:tcW w:w="992" w:type="dxa"/>
            <w:tcBorders>
              <w:top w:val="double" w:sz="6" w:space="0" w:color="auto"/>
              <w:bottom w:val="single" w:sz="6" w:space="0" w:color="000000"/>
            </w:tcBorders>
            <w:tcMar>
              <w:top w:w="28" w:type="dxa"/>
              <w:left w:w="28" w:type="dxa"/>
              <w:bottom w:w="28" w:type="dxa"/>
              <w:right w:w="28" w:type="dxa"/>
            </w:tcMar>
            <w:vAlign w:val="center"/>
            <w:hideMark/>
          </w:tcPr>
          <w:p w:rsidR="0033498E" w:rsidRPr="008253DD" w:rsidRDefault="0033498E" w:rsidP="00283F03">
            <w:pPr>
              <w:jc w:val="center"/>
              <w:rPr>
                <w:rFonts w:eastAsia="Times New Roman"/>
                <w:i/>
                <w:iCs/>
                <w:sz w:val="16"/>
              </w:rPr>
            </w:pPr>
            <w:proofErr w:type="spellStart"/>
            <w:r w:rsidRPr="008253DD">
              <w:rPr>
                <w:rFonts w:eastAsia="Times New Roman"/>
                <w:i/>
                <w:iCs/>
                <w:sz w:val="16"/>
              </w:rPr>
              <w:t>confidence</w:t>
            </w:r>
            <w:proofErr w:type="spellEnd"/>
          </w:p>
        </w:tc>
        <w:tc>
          <w:tcPr>
            <w:tcW w:w="709" w:type="dxa"/>
            <w:tcBorders>
              <w:top w:val="double" w:sz="6" w:space="0" w:color="auto"/>
              <w:bottom w:val="single" w:sz="6" w:space="0" w:color="000000"/>
            </w:tcBorders>
            <w:tcMar>
              <w:top w:w="28" w:type="dxa"/>
              <w:left w:w="28" w:type="dxa"/>
              <w:bottom w:w="28" w:type="dxa"/>
              <w:right w:w="28" w:type="dxa"/>
            </w:tcMar>
            <w:vAlign w:val="center"/>
            <w:hideMark/>
          </w:tcPr>
          <w:p w:rsidR="0033498E" w:rsidRPr="008253DD" w:rsidRDefault="0033498E" w:rsidP="00283F03">
            <w:pPr>
              <w:jc w:val="center"/>
              <w:rPr>
                <w:rFonts w:eastAsia="Times New Roman"/>
                <w:i/>
                <w:iCs/>
                <w:sz w:val="16"/>
              </w:rPr>
            </w:pPr>
            <w:r w:rsidRPr="008253DD">
              <w:rPr>
                <w:rFonts w:eastAsia="Times New Roman"/>
                <w:i/>
                <w:iCs/>
                <w:sz w:val="16"/>
              </w:rPr>
              <w:t>lift</w:t>
            </w:r>
          </w:p>
        </w:tc>
        <w:tc>
          <w:tcPr>
            <w:tcW w:w="850" w:type="dxa"/>
            <w:tcBorders>
              <w:top w:val="double" w:sz="6" w:space="0" w:color="auto"/>
              <w:bottom w:val="single" w:sz="6" w:space="0" w:color="000000"/>
            </w:tcBorders>
            <w:tcMar>
              <w:top w:w="28" w:type="dxa"/>
              <w:left w:w="28" w:type="dxa"/>
              <w:bottom w:w="28" w:type="dxa"/>
              <w:right w:w="28" w:type="dxa"/>
            </w:tcMar>
            <w:vAlign w:val="center"/>
            <w:hideMark/>
          </w:tcPr>
          <w:p w:rsidR="0033498E" w:rsidRPr="008253DD" w:rsidRDefault="0033498E" w:rsidP="00283F03">
            <w:pPr>
              <w:jc w:val="center"/>
              <w:rPr>
                <w:rFonts w:eastAsia="Times New Roman"/>
                <w:i/>
                <w:iCs/>
                <w:sz w:val="16"/>
              </w:rPr>
            </w:pPr>
            <w:proofErr w:type="spellStart"/>
            <w:r w:rsidRPr="008253DD">
              <w:rPr>
                <w:rFonts w:eastAsia="Times New Roman"/>
                <w:i/>
                <w:iCs/>
                <w:sz w:val="16"/>
              </w:rPr>
              <w:t>count</w:t>
            </w:r>
            <w:proofErr w:type="spellEnd"/>
          </w:p>
        </w:tc>
      </w:tr>
      <w:tr w:rsidR="0033498E" w:rsidRPr="008253DD" w:rsidTr="0033498E">
        <w:tc>
          <w:tcPr>
            <w:tcW w:w="3260"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w:t>
            </w:r>
            <w:proofErr w:type="spellStart"/>
            <w:r w:rsidRPr="008253DD">
              <w:rPr>
                <w:rFonts w:eastAsia="Times New Roman"/>
                <w:sz w:val="16"/>
              </w:rPr>
              <w:t>Type</w:t>
            </w:r>
            <w:proofErr w:type="spellEnd"/>
            <w:r w:rsidRPr="008253DD">
              <w:rPr>
                <w:rFonts w:eastAsia="Times New Roman"/>
                <w:sz w:val="16"/>
              </w:rPr>
              <w:t>=</w:t>
            </w:r>
            <w:proofErr w:type="spellStart"/>
            <w:proofErr w:type="gramStart"/>
            <w:r w:rsidRPr="008253DD">
              <w:rPr>
                <w:rFonts w:eastAsia="Times New Roman"/>
                <w:sz w:val="16"/>
              </w:rPr>
              <w:t>Unprovoked,sexo</w:t>
            </w:r>
            <w:proofErr w:type="spellEnd"/>
            <w:proofErr w:type="gramEnd"/>
            <w:r w:rsidRPr="008253DD">
              <w:rPr>
                <w:rFonts w:eastAsia="Times New Roman"/>
                <w:sz w:val="16"/>
              </w:rPr>
              <w:t>=</w:t>
            </w:r>
            <w:proofErr w:type="spellStart"/>
            <w:r w:rsidRPr="008253DD">
              <w:rPr>
                <w:rFonts w:eastAsia="Times New Roman"/>
                <w:sz w:val="16"/>
              </w:rPr>
              <w:t>F,region</w:t>
            </w:r>
            <w:proofErr w:type="spellEnd"/>
            <w:r w:rsidRPr="008253DD">
              <w:rPr>
                <w:rFonts w:eastAsia="Times New Roman"/>
                <w:sz w:val="16"/>
              </w:rPr>
              <w:t>=</w:t>
            </w:r>
            <w:proofErr w:type="spellStart"/>
            <w:r w:rsidRPr="008253DD">
              <w:rPr>
                <w:rFonts w:eastAsia="Times New Roman"/>
                <w:sz w:val="16"/>
              </w:rPr>
              <w:t>USA,fatal</w:t>
            </w:r>
            <w:proofErr w:type="spellEnd"/>
            <w:r w:rsidRPr="008253DD">
              <w:rPr>
                <w:rFonts w:eastAsia="Times New Roman"/>
                <w:sz w:val="16"/>
              </w:rPr>
              <w:t>=</w:t>
            </w:r>
            <w:proofErr w:type="spellStart"/>
            <w:r w:rsidRPr="008253DD">
              <w:rPr>
                <w:rFonts w:eastAsia="Times New Roman"/>
                <w:sz w:val="16"/>
              </w:rPr>
              <w:t>no,horario</w:t>
            </w:r>
            <w:proofErr w:type="spellEnd"/>
            <w:r w:rsidRPr="008253DD">
              <w:rPr>
                <w:rFonts w:eastAsia="Times New Roman"/>
                <w:sz w:val="16"/>
              </w:rPr>
              <w:t>=PM} =&gt; {edad=Young}</w:t>
            </w:r>
          </w:p>
        </w:tc>
        <w:tc>
          <w:tcPr>
            <w:tcW w:w="851"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0.02</w:t>
            </w:r>
          </w:p>
        </w:tc>
        <w:tc>
          <w:tcPr>
            <w:tcW w:w="992"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0.39</w:t>
            </w:r>
          </w:p>
        </w:tc>
        <w:tc>
          <w:tcPr>
            <w:tcW w:w="709"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2.826</w:t>
            </w:r>
          </w:p>
        </w:tc>
        <w:tc>
          <w:tcPr>
            <w:tcW w:w="850"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46</w:t>
            </w:r>
          </w:p>
        </w:tc>
      </w:tr>
      <w:tr w:rsidR="0033498E" w:rsidRPr="008253DD" w:rsidTr="0033498E">
        <w:tc>
          <w:tcPr>
            <w:tcW w:w="3260"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{sexo=</w:t>
            </w:r>
            <w:proofErr w:type="spellStart"/>
            <w:proofErr w:type="gramStart"/>
            <w:r w:rsidRPr="008253DD">
              <w:rPr>
                <w:rFonts w:eastAsia="Times New Roman"/>
                <w:sz w:val="16"/>
              </w:rPr>
              <w:t>F,region</w:t>
            </w:r>
            <w:proofErr w:type="spellEnd"/>
            <w:proofErr w:type="gramEnd"/>
            <w:r w:rsidRPr="008253DD">
              <w:rPr>
                <w:rFonts w:eastAsia="Times New Roman"/>
                <w:sz w:val="16"/>
              </w:rPr>
              <w:t>=</w:t>
            </w:r>
            <w:proofErr w:type="spellStart"/>
            <w:r w:rsidRPr="008253DD">
              <w:rPr>
                <w:rFonts w:eastAsia="Times New Roman"/>
                <w:sz w:val="16"/>
              </w:rPr>
              <w:t>USA,fatal</w:t>
            </w:r>
            <w:proofErr w:type="spellEnd"/>
            <w:r w:rsidRPr="008253DD">
              <w:rPr>
                <w:rFonts w:eastAsia="Times New Roman"/>
                <w:sz w:val="16"/>
              </w:rPr>
              <w:t>=</w:t>
            </w:r>
            <w:proofErr w:type="spellStart"/>
            <w:r w:rsidRPr="008253DD">
              <w:rPr>
                <w:rFonts w:eastAsia="Times New Roman"/>
                <w:sz w:val="16"/>
              </w:rPr>
              <w:t>no,horario</w:t>
            </w:r>
            <w:proofErr w:type="spellEnd"/>
            <w:r w:rsidRPr="008253DD">
              <w:rPr>
                <w:rFonts w:eastAsia="Times New Roman"/>
                <w:sz w:val="16"/>
              </w:rPr>
              <w:t>=PM} =&gt; {edad=Young}</w:t>
            </w:r>
          </w:p>
        </w:tc>
        <w:tc>
          <w:tcPr>
            <w:tcW w:w="851"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0.021</w:t>
            </w:r>
          </w:p>
        </w:tc>
        <w:tc>
          <w:tcPr>
            <w:tcW w:w="992"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0.386</w:t>
            </w:r>
          </w:p>
        </w:tc>
        <w:tc>
          <w:tcPr>
            <w:tcW w:w="709"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2.797</w:t>
            </w:r>
          </w:p>
        </w:tc>
        <w:tc>
          <w:tcPr>
            <w:tcW w:w="850"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49</w:t>
            </w:r>
          </w:p>
        </w:tc>
      </w:tr>
      <w:tr w:rsidR="0033498E" w:rsidRPr="008253DD" w:rsidTr="0033498E">
        <w:tc>
          <w:tcPr>
            <w:tcW w:w="3260"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w:t>
            </w:r>
            <w:proofErr w:type="spellStart"/>
            <w:r w:rsidRPr="008253DD">
              <w:rPr>
                <w:rFonts w:eastAsia="Times New Roman"/>
                <w:sz w:val="16"/>
              </w:rPr>
              <w:t>Type</w:t>
            </w:r>
            <w:proofErr w:type="spellEnd"/>
            <w:r w:rsidRPr="008253DD">
              <w:rPr>
                <w:rFonts w:eastAsia="Times New Roman"/>
                <w:sz w:val="16"/>
              </w:rPr>
              <w:t>=</w:t>
            </w:r>
            <w:proofErr w:type="spellStart"/>
            <w:proofErr w:type="gramStart"/>
            <w:r w:rsidRPr="008253DD">
              <w:rPr>
                <w:rFonts w:eastAsia="Times New Roman"/>
                <w:sz w:val="16"/>
              </w:rPr>
              <w:t>Unprovoked,sexo</w:t>
            </w:r>
            <w:proofErr w:type="spellEnd"/>
            <w:proofErr w:type="gramEnd"/>
            <w:r w:rsidRPr="008253DD">
              <w:rPr>
                <w:rFonts w:eastAsia="Times New Roman"/>
                <w:sz w:val="16"/>
              </w:rPr>
              <w:t>=</w:t>
            </w:r>
            <w:proofErr w:type="spellStart"/>
            <w:r w:rsidRPr="008253DD">
              <w:rPr>
                <w:rFonts w:eastAsia="Times New Roman"/>
                <w:sz w:val="16"/>
              </w:rPr>
              <w:t>F,region</w:t>
            </w:r>
            <w:proofErr w:type="spellEnd"/>
            <w:r w:rsidRPr="008253DD">
              <w:rPr>
                <w:rFonts w:eastAsia="Times New Roman"/>
                <w:sz w:val="16"/>
              </w:rPr>
              <w:t>=</w:t>
            </w:r>
            <w:proofErr w:type="spellStart"/>
            <w:r w:rsidRPr="008253DD">
              <w:rPr>
                <w:rFonts w:eastAsia="Times New Roman"/>
                <w:sz w:val="16"/>
              </w:rPr>
              <w:t>USA,horario</w:t>
            </w:r>
            <w:proofErr w:type="spellEnd"/>
            <w:r w:rsidRPr="008253DD">
              <w:rPr>
                <w:rFonts w:eastAsia="Times New Roman"/>
                <w:sz w:val="16"/>
              </w:rPr>
              <w:t>=PM} =&gt; {edad=Young}</w:t>
            </w:r>
          </w:p>
        </w:tc>
        <w:tc>
          <w:tcPr>
            <w:tcW w:w="851"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0.02</w:t>
            </w:r>
          </w:p>
        </w:tc>
        <w:tc>
          <w:tcPr>
            <w:tcW w:w="992"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0.383</w:t>
            </w:r>
          </w:p>
        </w:tc>
        <w:tc>
          <w:tcPr>
            <w:tcW w:w="709"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2.779</w:t>
            </w:r>
          </w:p>
        </w:tc>
        <w:tc>
          <w:tcPr>
            <w:tcW w:w="850"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46</w:t>
            </w:r>
          </w:p>
        </w:tc>
      </w:tr>
      <w:tr w:rsidR="0033498E" w:rsidRPr="008253DD" w:rsidTr="0033498E">
        <w:tc>
          <w:tcPr>
            <w:tcW w:w="3260"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{sexo=</w:t>
            </w:r>
            <w:proofErr w:type="spellStart"/>
            <w:proofErr w:type="gramStart"/>
            <w:r w:rsidRPr="008253DD">
              <w:rPr>
                <w:rFonts w:eastAsia="Times New Roman"/>
                <w:sz w:val="16"/>
              </w:rPr>
              <w:t>F,region</w:t>
            </w:r>
            <w:proofErr w:type="spellEnd"/>
            <w:proofErr w:type="gramEnd"/>
            <w:r w:rsidRPr="008253DD">
              <w:rPr>
                <w:rFonts w:eastAsia="Times New Roman"/>
                <w:sz w:val="16"/>
              </w:rPr>
              <w:t>=</w:t>
            </w:r>
            <w:proofErr w:type="spellStart"/>
            <w:r w:rsidRPr="008253DD">
              <w:rPr>
                <w:rFonts w:eastAsia="Times New Roman"/>
                <w:sz w:val="16"/>
              </w:rPr>
              <w:t>USA,horario</w:t>
            </w:r>
            <w:proofErr w:type="spellEnd"/>
            <w:r w:rsidRPr="008253DD">
              <w:rPr>
                <w:rFonts w:eastAsia="Times New Roman"/>
                <w:sz w:val="16"/>
              </w:rPr>
              <w:t>=PM} =&gt; {edad=Young}</w:t>
            </w:r>
          </w:p>
        </w:tc>
        <w:tc>
          <w:tcPr>
            <w:tcW w:w="851"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0.021</w:t>
            </w:r>
          </w:p>
        </w:tc>
        <w:tc>
          <w:tcPr>
            <w:tcW w:w="992"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0.38</w:t>
            </w:r>
          </w:p>
        </w:tc>
        <w:tc>
          <w:tcPr>
            <w:tcW w:w="709"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2.754</w:t>
            </w:r>
          </w:p>
        </w:tc>
        <w:tc>
          <w:tcPr>
            <w:tcW w:w="850"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49</w:t>
            </w:r>
          </w:p>
        </w:tc>
      </w:tr>
      <w:tr w:rsidR="0033498E" w:rsidRPr="008253DD" w:rsidTr="0033498E">
        <w:tc>
          <w:tcPr>
            <w:tcW w:w="3260"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{sexo=</w:t>
            </w:r>
            <w:proofErr w:type="spellStart"/>
            <w:proofErr w:type="gramStart"/>
            <w:r w:rsidRPr="008253DD">
              <w:rPr>
                <w:rFonts w:eastAsia="Times New Roman"/>
                <w:sz w:val="16"/>
              </w:rPr>
              <w:t>M,region</w:t>
            </w:r>
            <w:proofErr w:type="spellEnd"/>
            <w:proofErr w:type="gramEnd"/>
            <w:r w:rsidRPr="008253DD">
              <w:rPr>
                <w:rFonts w:eastAsia="Times New Roman"/>
                <w:sz w:val="16"/>
              </w:rPr>
              <w:t>=BRAZIL} =&gt; {fatal=yes}</w:t>
            </w:r>
          </w:p>
        </w:tc>
        <w:tc>
          <w:tcPr>
            <w:tcW w:w="851"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0.012</w:t>
            </w:r>
          </w:p>
        </w:tc>
        <w:tc>
          <w:tcPr>
            <w:tcW w:w="992"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0.359</w:t>
            </w:r>
          </w:p>
        </w:tc>
        <w:tc>
          <w:tcPr>
            <w:tcW w:w="709"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2.723</w:t>
            </w:r>
          </w:p>
        </w:tc>
        <w:tc>
          <w:tcPr>
            <w:tcW w:w="850"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28</w:t>
            </w:r>
          </w:p>
        </w:tc>
      </w:tr>
      <w:tr w:rsidR="0033498E" w:rsidRPr="008253DD" w:rsidTr="0033498E">
        <w:tc>
          <w:tcPr>
            <w:tcW w:w="3260"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w:t>
            </w:r>
            <w:proofErr w:type="spellStart"/>
            <w:r w:rsidRPr="008253DD">
              <w:rPr>
                <w:rFonts w:eastAsia="Times New Roman"/>
                <w:sz w:val="16"/>
              </w:rPr>
              <w:t>region</w:t>
            </w:r>
            <w:proofErr w:type="spellEnd"/>
            <w:r w:rsidRPr="008253DD">
              <w:rPr>
                <w:rFonts w:eastAsia="Times New Roman"/>
                <w:sz w:val="16"/>
              </w:rPr>
              <w:t>=BRAZIL} =&gt; {fatal=yes}</w:t>
            </w:r>
          </w:p>
        </w:tc>
        <w:tc>
          <w:tcPr>
            <w:tcW w:w="851"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0.014</w:t>
            </w:r>
          </w:p>
        </w:tc>
        <w:tc>
          <w:tcPr>
            <w:tcW w:w="992"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0.356</w:t>
            </w:r>
          </w:p>
        </w:tc>
        <w:tc>
          <w:tcPr>
            <w:tcW w:w="709"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2.697</w:t>
            </w:r>
          </w:p>
        </w:tc>
        <w:tc>
          <w:tcPr>
            <w:tcW w:w="850"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32</w:t>
            </w:r>
          </w:p>
        </w:tc>
      </w:tr>
      <w:tr w:rsidR="0033498E" w:rsidRPr="008253DD" w:rsidTr="0033498E">
        <w:tc>
          <w:tcPr>
            <w:tcW w:w="3260" w:type="dxa"/>
            <w:tcMar>
              <w:top w:w="28" w:type="dxa"/>
              <w:left w:w="28" w:type="dxa"/>
              <w:bottom w:w="28" w:type="dxa"/>
              <w:right w:w="28" w:type="dxa"/>
            </w:tcMar>
            <w:hideMark/>
          </w:tcPr>
          <w:p w:rsidR="0033498E" w:rsidRPr="008253DD" w:rsidRDefault="0033498E" w:rsidP="00283F03">
            <w:pPr>
              <w:jc w:val="center"/>
              <w:rPr>
                <w:rFonts w:eastAsia="Times New Roman"/>
                <w:sz w:val="16"/>
                <w:lang w:val="en-US"/>
              </w:rPr>
            </w:pPr>
            <w:r w:rsidRPr="008253DD">
              <w:rPr>
                <w:rFonts w:eastAsia="Times New Roman"/>
                <w:sz w:val="16"/>
                <w:lang w:val="en-US"/>
              </w:rPr>
              <w:t>{Type=</w:t>
            </w:r>
            <w:proofErr w:type="spellStart"/>
            <w:proofErr w:type="gramStart"/>
            <w:r w:rsidRPr="008253DD">
              <w:rPr>
                <w:rFonts w:eastAsia="Times New Roman"/>
                <w:sz w:val="16"/>
                <w:lang w:val="en-US"/>
              </w:rPr>
              <w:t>Unprovoked,sexo</w:t>
            </w:r>
            <w:proofErr w:type="spellEnd"/>
            <w:proofErr w:type="gramEnd"/>
            <w:r w:rsidRPr="008253DD">
              <w:rPr>
                <w:rFonts w:eastAsia="Times New Roman"/>
                <w:sz w:val="16"/>
                <w:lang w:val="en-US"/>
              </w:rPr>
              <w:t>=</w:t>
            </w:r>
            <w:proofErr w:type="spellStart"/>
            <w:r w:rsidRPr="008253DD">
              <w:rPr>
                <w:rFonts w:eastAsia="Times New Roman"/>
                <w:sz w:val="16"/>
                <w:lang w:val="en-US"/>
              </w:rPr>
              <w:t>F,region</w:t>
            </w:r>
            <w:proofErr w:type="spellEnd"/>
            <w:r w:rsidRPr="008253DD">
              <w:rPr>
                <w:rFonts w:eastAsia="Times New Roman"/>
                <w:sz w:val="16"/>
                <w:lang w:val="en-US"/>
              </w:rPr>
              <w:t>=</w:t>
            </w:r>
            <w:proofErr w:type="spellStart"/>
            <w:r w:rsidRPr="008253DD">
              <w:rPr>
                <w:rFonts w:eastAsia="Times New Roman"/>
                <w:sz w:val="16"/>
                <w:lang w:val="en-US"/>
              </w:rPr>
              <w:t>USA,fatal</w:t>
            </w:r>
            <w:proofErr w:type="spellEnd"/>
            <w:r w:rsidRPr="008253DD">
              <w:rPr>
                <w:rFonts w:eastAsia="Times New Roman"/>
                <w:sz w:val="16"/>
                <w:lang w:val="en-US"/>
              </w:rPr>
              <w:t>=no} =&gt; {</w:t>
            </w:r>
            <w:proofErr w:type="spellStart"/>
            <w:r w:rsidRPr="008253DD">
              <w:rPr>
                <w:rFonts w:eastAsia="Times New Roman"/>
                <w:sz w:val="16"/>
                <w:lang w:val="en-US"/>
              </w:rPr>
              <w:t>edad</w:t>
            </w:r>
            <w:proofErr w:type="spellEnd"/>
            <w:r w:rsidRPr="008253DD">
              <w:rPr>
                <w:rFonts w:eastAsia="Times New Roman"/>
                <w:sz w:val="16"/>
                <w:lang w:val="en-US"/>
              </w:rPr>
              <w:t>=Young}</w:t>
            </w:r>
          </w:p>
        </w:tc>
        <w:tc>
          <w:tcPr>
            <w:tcW w:w="851"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0.029</w:t>
            </w:r>
          </w:p>
        </w:tc>
        <w:tc>
          <w:tcPr>
            <w:tcW w:w="992"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0.351</w:t>
            </w:r>
          </w:p>
        </w:tc>
        <w:tc>
          <w:tcPr>
            <w:tcW w:w="709"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2.543</w:t>
            </w:r>
          </w:p>
        </w:tc>
        <w:tc>
          <w:tcPr>
            <w:tcW w:w="850"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67</w:t>
            </w:r>
          </w:p>
        </w:tc>
      </w:tr>
      <w:tr w:rsidR="0033498E" w:rsidRPr="008253DD" w:rsidTr="0033498E">
        <w:tc>
          <w:tcPr>
            <w:tcW w:w="3260"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{sexo=</w:t>
            </w:r>
            <w:proofErr w:type="spellStart"/>
            <w:proofErr w:type="gramStart"/>
            <w:r w:rsidRPr="008253DD">
              <w:rPr>
                <w:rFonts w:eastAsia="Times New Roman"/>
                <w:sz w:val="16"/>
              </w:rPr>
              <w:t>F,fatal</w:t>
            </w:r>
            <w:proofErr w:type="spellEnd"/>
            <w:proofErr w:type="gramEnd"/>
            <w:r w:rsidRPr="008253DD">
              <w:rPr>
                <w:rFonts w:eastAsia="Times New Roman"/>
                <w:sz w:val="16"/>
              </w:rPr>
              <w:t>=</w:t>
            </w:r>
            <w:proofErr w:type="spellStart"/>
            <w:r w:rsidRPr="008253DD">
              <w:rPr>
                <w:rFonts w:eastAsia="Times New Roman"/>
                <w:sz w:val="16"/>
              </w:rPr>
              <w:t>no,horario</w:t>
            </w:r>
            <w:proofErr w:type="spellEnd"/>
            <w:r w:rsidRPr="008253DD">
              <w:rPr>
                <w:rFonts w:eastAsia="Times New Roman"/>
                <w:sz w:val="16"/>
              </w:rPr>
              <w:t>=PM} =&gt; {edad=Young}</w:t>
            </w:r>
          </w:p>
        </w:tc>
        <w:tc>
          <w:tcPr>
            <w:tcW w:w="851"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0.025</w:t>
            </w:r>
          </w:p>
        </w:tc>
        <w:tc>
          <w:tcPr>
            <w:tcW w:w="992"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0.35</w:t>
            </w:r>
          </w:p>
        </w:tc>
        <w:tc>
          <w:tcPr>
            <w:tcW w:w="709"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2.535</w:t>
            </w:r>
          </w:p>
        </w:tc>
        <w:tc>
          <w:tcPr>
            <w:tcW w:w="850"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57</w:t>
            </w:r>
          </w:p>
        </w:tc>
      </w:tr>
      <w:tr w:rsidR="0033498E" w:rsidRPr="008253DD" w:rsidTr="0033498E">
        <w:tc>
          <w:tcPr>
            <w:tcW w:w="3260" w:type="dxa"/>
            <w:tcMar>
              <w:top w:w="28" w:type="dxa"/>
              <w:left w:w="28" w:type="dxa"/>
              <w:bottom w:w="28" w:type="dxa"/>
              <w:right w:w="28" w:type="dxa"/>
            </w:tcMar>
            <w:hideMark/>
          </w:tcPr>
          <w:p w:rsidR="0033498E" w:rsidRPr="008253DD" w:rsidRDefault="0033498E" w:rsidP="00283F03">
            <w:pPr>
              <w:jc w:val="center"/>
              <w:rPr>
                <w:rFonts w:eastAsia="Times New Roman"/>
                <w:sz w:val="16"/>
                <w:lang w:val="en-US"/>
              </w:rPr>
            </w:pPr>
            <w:r w:rsidRPr="008253DD">
              <w:rPr>
                <w:rFonts w:eastAsia="Times New Roman"/>
                <w:sz w:val="16"/>
                <w:lang w:val="en-US"/>
              </w:rPr>
              <w:t>{Type=</w:t>
            </w:r>
            <w:proofErr w:type="spellStart"/>
            <w:proofErr w:type="gramStart"/>
            <w:r w:rsidRPr="008253DD">
              <w:rPr>
                <w:rFonts w:eastAsia="Times New Roman"/>
                <w:sz w:val="16"/>
                <w:lang w:val="en-US"/>
              </w:rPr>
              <w:t>Unprovoked,sexo</w:t>
            </w:r>
            <w:proofErr w:type="spellEnd"/>
            <w:proofErr w:type="gramEnd"/>
            <w:r w:rsidRPr="008253DD">
              <w:rPr>
                <w:rFonts w:eastAsia="Times New Roman"/>
                <w:sz w:val="16"/>
                <w:lang w:val="en-US"/>
              </w:rPr>
              <w:t>=</w:t>
            </w:r>
            <w:proofErr w:type="spellStart"/>
            <w:r w:rsidRPr="008253DD">
              <w:rPr>
                <w:rFonts w:eastAsia="Times New Roman"/>
                <w:sz w:val="16"/>
                <w:lang w:val="en-US"/>
              </w:rPr>
              <w:t>F,region</w:t>
            </w:r>
            <w:proofErr w:type="spellEnd"/>
            <w:r w:rsidRPr="008253DD">
              <w:rPr>
                <w:rFonts w:eastAsia="Times New Roman"/>
                <w:sz w:val="16"/>
                <w:lang w:val="en-US"/>
              </w:rPr>
              <w:t>=USA} =&gt; {</w:t>
            </w:r>
            <w:proofErr w:type="spellStart"/>
            <w:r w:rsidRPr="008253DD">
              <w:rPr>
                <w:rFonts w:eastAsia="Times New Roman"/>
                <w:sz w:val="16"/>
                <w:lang w:val="en-US"/>
              </w:rPr>
              <w:t>edad</w:t>
            </w:r>
            <w:proofErr w:type="spellEnd"/>
            <w:r w:rsidRPr="008253DD">
              <w:rPr>
                <w:rFonts w:eastAsia="Times New Roman"/>
                <w:sz w:val="16"/>
                <w:lang w:val="en-US"/>
              </w:rPr>
              <w:t>=Young}</w:t>
            </w:r>
          </w:p>
        </w:tc>
        <w:tc>
          <w:tcPr>
            <w:tcW w:w="851"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0.03</w:t>
            </w:r>
          </w:p>
        </w:tc>
        <w:tc>
          <w:tcPr>
            <w:tcW w:w="992"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0.343</w:t>
            </w:r>
          </w:p>
        </w:tc>
        <w:tc>
          <w:tcPr>
            <w:tcW w:w="709"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2.49</w:t>
            </w:r>
          </w:p>
        </w:tc>
        <w:tc>
          <w:tcPr>
            <w:tcW w:w="850" w:type="dxa"/>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68</w:t>
            </w:r>
          </w:p>
        </w:tc>
      </w:tr>
      <w:tr w:rsidR="0033498E" w:rsidRPr="008253DD" w:rsidTr="0033498E">
        <w:tc>
          <w:tcPr>
            <w:tcW w:w="3260" w:type="dxa"/>
            <w:tcBorders>
              <w:bottom w:val="double" w:sz="6" w:space="0" w:color="auto"/>
            </w:tcBorders>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{sexo=</w:t>
            </w:r>
            <w:proofErr w:type="spellStart"/>
            <w:proofErr w:type="gramStart"/>
            <w:r w:rsidRPr="008253DD">
              <w:rPr>
                <w:rFonts w:eastAsia="Times New Roman"/>
                <w:sz w:val="16"/>
              </w:rPr>
              <w:t>F,horario</w:t>
            </w:r>
            <w:proofErr w:type="spellEnd"/>
            <w:proofErr w:type="gramEnd"/>
            <w:r w:rsidRPr="008253DD">
              <w:rPr>
                <w:rFonts w:eastAsia="Times New Roman"/>
                <w:sz w:val="16"/>
              </w:rPr>
              <w:t>=PM} =&gt; {edad=Young}</w:t>
            </w:r>
          </w:p>
        </w:tc>
        <w:tc>
          <w:tcPr>
            <w:tcW w:w="851" w:type="dxa"/>
            <w:tcBorders>
              <w:bottom w:val="double" w:sz="6" w:space="0" w:color="auto"/>
            </w:tcBorders>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0.026</w:t>
            </w:r>
          </w:p>
        </w:tc>
        <w:tc>
          <w:tcPr>
            <w:tcW w:w="992" w:type="dxa"/>
            <w:tcBorders>
              <w:bottom w:val="double" w:sz="6" w:space="0" w:color="auto"/>
            </w:tcBorders>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0.337</w:t>
            </w:r>
          </w:p>
        </w:tc>
        <w:tc>
          <w:tcPr>
            <w:tcW w:w="709" w:type="dxa"/>
            <w:tcBorders>
              <w:bottom w:val="double" w:sz="6" w:space="0" w:color="auto"/>
            </w:tcBorders>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2.444</w:t>
            </w:r>
          </w:p>
        </w:tc>
        <w:tc>
          <w:tcPr>
            <w:tcW w:w="850" w:type="dxa"/>
            <w:tcBorders>
              <w:bottom w:val="double" w:sz="6" w:space="0" w:color="auto"/>
            </w:tcBorders>
            <w:tcMar>
              <w:top w:w="28" w:type="dxa"/>
              <w:left w:w="28" w:type="dxa"/>
              <w:bottom w:w="28" w:type="dxa"/>
              <w:right w:w="28" w:type="dxa"/>
            </w:tcMar>
            <w:hideMark/>
          </w:tcPr>
          <w:p w:rsidR="0033498E" w:rsidRPr="008253DD" w:rsidRDefault="0033498E" w:rsidP="00283F03">
            <w:pPr>
              <w:jc w:val="center"/>
              <w:rPr>
                <w:rFonts w:eastAsia="Times New Roman"/>
                <w:sz w:val="16"/>
              </w:rPr>
            </w:pPr>
            <w:r w:rsidRPr="008253DD">
              <w:rPr>
                <w:rFonts w:eastAsia="Times New Roman"/>
                <w:sz w:val="16"/>
              </w:rPr>
              <w:t>59</w:t>
            </w:r>
          </w:p>
        </w:tc>
      </w:tr>
    </w:tbl>
    <w:p w:rsidR="0033498E" w:rsidRDefault="0033498E">
      <w:pPr>
        <w:spacing w:line="288" w:lineRule="auto"/>
        <w:jc w:val="center"/>
        <w:rPr>
          <w:b/>
        </w:rPr>
      </w:pPr>
    </w:p>
    <w:p w:rsidR="003C5B36" w:rsidRDefault="00283F03">
      <w:pPr>
        <w:spacing w:after="120" w:line="288" w:lineRule="auto"/>
      </w:pPr>
      <w:r>
        <w:t xml:space="preserve">Como se observa en el cuadro 6, las reglas de mayor soporte son similares a las obtenidas bajo la configuración A. Los </w:t>
      </w:r>
      <w:proofErr w:type="spellStart"/>
      <w:r>
        <w:t>itemsets</w:t>
      </w:r>
      <w:proofErr w:type="spellEnd"/>
      <w:r>
        <w:t xml:space="preserve"> compuestos por ataques no fatales, no provocados y/o dirigidos a hombres son los más frecuentes. Las posibles combinaciones de a pares de </w:t>
      </w:r>
      <w:proofErr w:type="gramStart"/>
      <w:r>
        <w:t>los mismos</w:t>
      </w:r>
      <w:proofErr w:type="gramEnd"/>
      <w:r>
        <w:t xml:space="preserve"> registran alrededor de un 75% frecuencia relativa, como se observa en las primeras 6 reglas del cuadro. Se observa a su vez que las reglas que contienen a este </w:t>
      </w:r>
      <w:proofErr w:type="spellStart"/>
      <w:r>
        <w:t>itemset</w:t>
      </w:r>
      <w:proofErr w:type="spellEnd"/>
      <w:r>
        <w:t xml:space="preserve"> registran una confianza relativamente alta -- superior al 80%. Sin embargo, su lift se encuentra alrededor de 1, lo cual indica que probablemente las asociaciones implicadas sean más bien casuales, originadas por el alto soporte de los consecuentes. </w:t>
      </w:r>
    </w:p>
    <w:p w:rsidR="003C5B36" w:rsidRDefault="00283F03">
      <w:pPr>
        <w:spacing w:after="120" w:line="288" w:lineRule="auto"/>
      </w:pPr>
      <w:r>
        <w:t xml:space="preserve">Analizando el cuadro 8 se observa que las primeras cuatro reglas con mayor lift indican que la probabilidad de que una víctima sea </w:t>
      </w:r>
      <w:r w:rsidR="0033498E">
        <w:t>joven</w:t>
      </w:r>
      <w:r>
        <w:t xml:space="preserve"> es relativamente alta cuando los ataques son no provocados, no fatales, en </w:t>
      </w:r>
      <w:proofErr w:type="gramStart"/>
      <w:r>
        <w:t>EEUU</w:t>
      </w:r>
      <w:proofErr w:type="gramEnd"/>
      <w:r>
        <w:t>, dirigidos a niñas y/o después del mediodía. Estas reglas también registraban alto lift en la configuración A, lo cual ilustra su robustez.</w:t>
      </w:r>
    </w:p>
    <w:p w:rsidR="003C5B36" w:rsidRDefault="00283F03">
      <w:pPr>
        <w:spacing w:after="120" w:line="288" w:lineRule="auto"/>
      </w:pPr>
      <w:r>
        <w:t xml:space="preserve"> Por otra parte, se observa otro set de reglas interesantes (reglas 5 y 6 en el cuadro 9) que indican que los ataques en Brasil y dirigidos a los hombres tienen una tasa de fatalidad significativamente alta. Más allá de la baja frecuencia relativa de este </w:t>
      </w:r>
      <w:proofErr w:type="spellStart"/>
      <w:r>
        <w:t>itemset</w:t>
      </w:r>
      <w:proofErr w:type="spellEnd"/>
      <w:r>
        <w:t xml:space="preserve"> (1,4%), los ataques de tiburones que causan la muerte de la víctima en Brasil son más frecuentes de lo que esperado dadas las probabilidades individuales del antecedente y consecuente por separado. </w:t>
      </w:r>
    </w:p>
    <w:p w:rsidR="003C5B36" w:rsidRDefault="00283F03">
      <w:pPr>
        <w:spacing w:after="120" w:line="288" w:lineRule="auto"/>
      </w:pPr>
      <w:r>
        <w:t xml:space="preserve">Lo que es más interesante es que las únicas dos reglas generadas según los criterios de este trabajo para la configuración B que incluyen “fatal” en el consecuente son las mismas reglas descritas en el párrafo inmediatamente anterior. Esto refuerza aún más la observación de que en los últimos 25 años la cantidad de accidentes en Brasil es atípicamente alta, y en particular para la población masculina. Sería interesante analizar las características de la costa brasileña, las actividades que allí se desarrollan </w:t>
      </w:r>
      <w:r>
        <w:lastRenderedPageBreak/>
        <w:t xml:space="preserve">y de las distintas especies de tiburones que habitan en su cercanía ya que pueden ser los factores que causan esta asociación fuerte. </w:t>
      </w:r>
    </w:p>
    <w:p w:rsidR="003C5B36" w:rsidRDefault="00283F03">
      <w:pPr>
        <w:spacing w:line="288" w:lineRule="auto"/>
        <w:ind w:firstLine="0"/>
        <w:jc w:val="center"/>
      </w:pPr>
      <w:r>
        <w:rPr>
          <w:b/>
        </w:rPr>
        <w:t>Figura 10. Reglas según soporte, confianza y lift (configuración B)</w:t>
      </w:r>
      <w:r>
        <w:rPr>
          <w:noProof/>
        </w:rPr>
        <w:drawing>
          <wp:inline distT="114300" distB="114300" distL="114300" distR="114300">
            <wp:extent cx="2899825" cy="1726442"/>
            <wp:effectExtent l="0" t="0" r="0" b="762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t="20230"/>
                    <a:stretch>
                      <a:fillRect/>
                    </a:stretch>
                  </pic:blipFill>
                  <pic:spPr>
                    <a:xfrm>
                      <a:off x="0" y="0"/>
                      <a:ext cx="2919597" cy="1738213"/>
                    </a:xfrm>
                    <a:prstGeom prst="rect">
                      <a:avLst/>
                    </a:prstGeom>
                    <a:ln/>
                  </pic:spPr>
                </pic:pic>
              </a:graphicData>
            </a:graphic>
          </wp:inline>
        </w:drawing>
      </w:r>
    </w:p>
    <w:p w:rsidR="003C5B36" w:rsidRDefault="00283F03">
      <w:pPr>
        <w:spacing w:after="120" w:line="288" w:lineRule="auto"/>
      </w:pPr>
      <w:r>
        <w:t xml:space="preserve">En la figura 10 vemos que el patrón de reglas es muy similar al de la figura 9, confeccionado con la configuración A del dataset: cuando las reglas tienen lift alto, el soporte es bajo. Por otra parte, en este caso la confianza es un poco más alta para las reglas más robustas que lo observado en la configuración anterior -- de todos </w:t>
      </w:r>
      <w:proofErr w:type="gramStart"/>
      <w:r>
        <w:t>modos</w:t>
      </w:r>
      <w:proofErr w:type="gramEnd"/>
      <w:r>
        <w:t xml:space="preserve"> sus valores apenas superan el 50%.</w:t>
      </w:r>
    </w:p>
    <w:p w:rsidR="003C5B36" w:rsidRPr="00C90D83" w:rsidRDefault="00283F03">
      <w:pPr>
        <w:keepNext/>
        <w:keepLines/>
        <w:pBdr>
          <w:top w:val="nil"/>
          <w:left w:val="nil"/>
          <w:bottom w:val="nil"/>
          <w:right w:val="nil"/>
          <w:between w:val="nil"/>
        </w:pBdr>
        <w:tabs>
          <w:tab w:val="left" w:pos="454"/>
        </w:tabs>
        <w:spacing w:before="520" w:after="280"/>
        <w:ind w:firstLine="0"/>
        <w:rPr>
          <w:sz w:val="18"/>
          <w:szCs w:val="18"/>
          <w:lang w:val="en-US"/>
        </w:rPr>
      </w:pPr>
      <w:proofErr w:type="spellStart"/>
      <w:r w:rsidRPr="00C90D83">
        <w:rPr>
          <w:b/>
          <w:sz w:val="24"/>
          <w:szCs w:val="24"/>
          <w:lang w:val="en-US"/>
        </w:rPr>
        <w:t>Referencias</w:t>
      </w:r>
      <w:proofErr w:type="spellEnd"/>
    </w:p>
    <w:p w:rsidR="003C5B36" w:rsidRPr="00C90D83" w:rsidRDefault="00283F03">
      <w:pPr>
        <w:spacing w:after="40"/>
        <w:ind w:left="227" w:hanging="227"/>
        <w:rPr>
          <w:rFonts w:ascii="Times New Roman" w:eastAsia="Times New Roman" w:hAnsi="Times New Roman" w:cs="Times New Roman"/>
          <w:sz w:val="18"/>
          <w:szCs w:val="18"/>
          <w:lang w:val="en-US"/>
        </w:rPr>
      </w:pPr>
      <w:r w:rsidRPr="00C90D83">
        <w:rPr>
          <w:sz w:val="18"/>
          <w:szCs w:val="18"/>
          <w:lang w:val="en-US"/>
        </w:rPr>
        <w:t xml:space="preserve">[1] </w:t>
      </w:r>
      <w:proofErr w:type="spellStart"/>
      <w:r w:rsidRPr="00C90D83">
        <w:rPr>
          <w:sz w:val="18"/>
          <w:szCs w:val="18"/>
          <w:lang w:val="en-US"/>
        </w:rPr>
        <w:t>Hahsler</w:t>
      </w:r>
      <w:proofErr w:type="spellEnd"/>
      <w:r w:rsidRPr="00C90D83">
        <w:rPr>
          <w:sz w:val="18"/>
          <w:szCs w:val="18"/>
          <w:lang w:val="en-US"/>
        </w:rPr>
        <w:t xml:space="preserve">, M. (2017). </w:t>
      </w:r>
      <w:proofErr w:type="spellStart"/>
      <w:r w:rsidRPr="00C90D83">
        <w:rPr>
          <w:rFonts w:ascii="Times New Roman" w:eastAsia="Times New Roman" w:hAnsi="Times New Roman" w:cs="Times New Roman"/>
          <w:i/>
          <w:sz w:val="18"/>
          <w:szCs w:val="18"/>
          <w:lang w:val="en-US"/>
        </w:rPr>
        <w:t>arulesViz</w:t>
      </w:r>
      <w:proofErr w:type="spellEnd"/>
      <w:r w:rsidRPr="00C90D83">
        <w:rPr>
          <w:rFonts w:ascii="Times New Roman" w:eastAsia="Times New Roman" w:hAnsi="Times New Roman" w:cs="Times New Roman"/>
          <w:i/>
          <w:sz w:val="18"/>
          <w:szCs w:val="18"/>
          <w:lang w:val="en-US"/>
        </w:rPr>
        <w:t xml:space="preserve">: Interactive Visualization of Association Rules with R. </w:t>
      </w:r>
      <w:r w:rsidRPr="00C90D83">
        <w:rPr>
          <w:rFonts w:ascii="Times New Roman" w:eastAsia="Times New Roman" w:hAnsi="Times New Roman" w:cs="Times New Roman"/>
          <w:sz w:val="18"/>
          <w:szCs w:val="18"/>
          <w:lang w:val="en-US"/>
        </w:rPr>
        <w:t>The R Journal Vol 9/2.</w:t>
      </w:r>
    </w:p>
    <w:p w:rsidR="003C5B36" w:rsidRDefault="00283F03">
      <w:pPr>
        <w:spacing w:after="40"/>
        <w:ind w:left="227" w:hanging="227"/>
        <w:rPr>
          <w:rFonts w:ascii="Times New Roman" w:eastAsia="Times New Roman" w:hAnsi="Times New Roman" w:cs="Times New Roman"/>
          <w:sz w:val="18"/>
          <w:szCs w:val="18"/>
        </w:rPr>
      </w:pPr>
      <w:r w:rsidRPr="00C90D83">
        <w:rPr>
          <w:rFonts w:ascii="Times New Roman" w:eastAsia="Times New Roman" w:hAnsi="Times New Roman" w:cs="Times New Roman"/>
          <w:sz w:val="18"/>
          <w:szCs w:val="18"/>
          <w:lang w:val="en-US"/>
        </w:rPr>
        <w:t xml:space="preserve">[2] </w:t>
      </w:r>
      <w:proofErr w:type="spellStart"/>
      <w:r w:rsidRPr="00C90D83">
        <w:rPr>
          <w:rFonts w:ascii="Times New Roman" w:eastAsia="Times New Roman" w:hAnsi="Times New Roman" w:cs="Times New Roman"/>
          <w:sz w:val="18"/>
          <w:szCs w:val="18"/>
          <w:lang w:val="en-US"/>
        </w:rPr>
        <w:t>Hahsler</w:t>
      </w:r>
      <w:proofErr w:type="spellEnd"/>
      <w:r w:rsidRPr="00C90D83">
        <w:rPr>
          <w:rFonts w:ascii="Times New Roman" w:eastAsia="Times New Roman" w:hAnsi="Times New Roman" w:cs="Times New Roman"/>
          <w:sz w:val="18"/>
          <w:szCs w:val="18"/>
          <w:lang w:val="en-US"/>
        </w:rPr>
        <w:t xml:space="preserve">, M. et al (2018) </w:t>
      </w:r>
      <w:proofErr w:type="spellStart"/>
      <w:r w:rsidRPr="00C90D83">
        <w:rPr>
          <w:rFonts w:ascii="Times New Roman" w:eastAsia="Times New Roman" w:hAnsi="Times New Roman" w:cs="Times New Roman"/>
          <w:i/>
          <w:sz w:val="18"/>
          <w:szCs w:val="18"/>
          <w:lang w:val="en-US"/>
        </w:rPr>
        <w:t>arules</w:t>
      </w:r>
      <w:proofErr w:type="spellEnd"/>
      <w:r w:rsidRPr="00C90D83">
        <w:rPr>
          <w:rFonts w:ascii="Times New Roman" w:eastAsia="Times New Roman" w:hAnsi="Times New Roman" w:cs="Times New Roman"/>
          <w:i/>
          <w:sz w:val="18"/>
          <w:szCs w:val="18"/>
          <w:lang w:val="en-US"/>
        </w:rPr>
        <w:t xml:space="preserve">: Mining Association Rules and Frequent </w:t>
      </w:r>
      <w:proofErr w:type="spellStart"/>
      <w:r w:rsidRPr="00C90D83">
        <w:rPr>
          <w:rFonts w:ascii="Times New Roman" w:eastAsia="Times New Roman" w:hAnsi="Times New Roman" w:cs="Times New Roman"/>
          <w:i/>
          <w:sz w:val="18"/>
          <w:szCs w:val="18"/>
          <w:lang w:val="en-US"/>
        </w:rPr>
        <w:t>Itemsets</w:t>
      </w:r>
      <w:proofErr w:type="spellEnd"/>
      <w:r w:rsidRPr="00C90D83">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rPr>
        <w:t>[Online] Disponible en: https://cran.r-project.org/web/packages/arules/index.html.</w:t>
      </w:r>
    </w:p>
    <w:p w:rsidR="003C5B36" w:rsidRDefault="00283F03">
      <w:pPr>
        <w:spacing w:after="40"/>
        <w:ind w:left="227" w:hanging="227"/>
        <w:rPr>
          <w:rFonts w:ascii="Times New Roman" w:eastAsia="Times New Roman" w:hAnsi="Times New Roman" w:cs="Times New Roman"/>
          <w:sz w:val="18"/>
          <w:szCs w:val="18"/>
        </w:rPr>
      </w:pPr>
      <w:r w:rsidRPr="00C90D83">
        <w:rPr>
          <w:rFonts w:ascii="Times New Roman" w:eastAsia="Times New Roman" w:hAnsi="Times New Roman" w:cs="Times New Roman"/>
          <w:sz w:val="18"/>
          <w:szCs w:val="18"/>
          <w:lang w:val="en-US"/>
        </w:rPr>
        <w:t xml:space="preserve">[3] </w:t>
      </w:r>
      <w:proofErr w:type="spellStart"/>
      <w:r w:rsidRPr="00C90D83">
        <w:rPr>
          <w:rFonts w:ascii="Times New Roman" w:eastAsia="Times New Roman" w:hAnsi="Times New Roman" w:cs="Times New Roman"/>
          <w:sz w:val="18"/>
          <w:szCs w:val="18"/>
          <w:highlight w:val="white"/>
          <w:lang w:val="en-US"/>
        </w:rPr>
        <w:t>Lüdecke</w:t>
      </w:r>
      <w:proofErr w:type="spellEnd"/>
      <w:r w:rsidRPr="00C90D83">
        <w:rPr>
          <w:rFonts w:ascii="Times New Roman" w:eastAsia="Times New Roman" w:hAnsi="Times New Roman" w:cs="Times New Roman"/>
          <w:sz w:val="18"/>
          <w:szCs w:val="18"/>
          <w:highlight w:val="white"/>
          <w:lang w:val="en-US"/>
        </w:rPr>
        <w:t xml:space="preserve">, D. &amp; </w:t>
      </w:r>
      <w:proofErr w:type="spellStart"/>
      <w:r w:rsidRPr="00C90D83">
        <w:rPr>
          <w:rFonts w:ascii="Times New Roman" w:eastAsia="Times New Roman" w:hAnsi="Times New Roman" w:cs="Times New Roman"/>
          <w:sz w:val="18"/>
          <w:szCs w:val="18"/>
          <w:highlight w:val="white"/>
          <w:lang w:val="en-US"/>
        </w:rPr>
        <w:t>Schwemmer</w:t>
      </w:r>
      <w:proofErr w:type="spellEnd"/>
      <w:r w:rsidRPr="00C90D83">
        <w:rPr>
          <w:rFonts w:ascii="Times New Roman" w:eastAsia="Times New Roman" w:hAnsi="Times New Roman" w:cs="Times New Roman"/>
          <w:sz w:val="18"/>
          <w:szCs w:val="18"/>
          <w:highlight w:val="white"/>
          <w:lang w:val="en-US"/>
        </w:rPr>
        <w:t xml:space="preserve">, C. </w:t>
      </w:r>
      <w:r w:rsidRPr="00C90D83">
        <w:rPr>
          <w:rFonts w:ascii="Times New Roman" w:eastAsia="Times New Roman" w:hAnsi="Times New Roman" w:cs="Times New Roman"/>
          <w:sz w:val="18"/>
          <w:szCs w:val="18"/>
          <w:lang w:val="en-US"/>
        </w:rPr>
        <w:t xml:space="preserve"> (2018). </w:t>
      </w:r>
      <w:proofErr w:type="spellStart"/>
      <w:r w:rsidRPr="00C90D83">
        <w:rPr>
          <w:rFonts w:ascii="Times New Roman" w:eastAsia="Times New Roman" w:hAnsi="Times New Roman" w:cs="Times New Roman"/>
          <w:i/>
          <w:sz w:val="18"/>
          <w:szCs w:val="18"/>
          <w:lang w:val="en-US"/>
        </w:rPr>
        <w:t>sjPlot</w:t>
      </w:r>
      <w:proofErr w:type="spellEnd"/>
      <w:r w:rsidRPr="00C90D83">
        <w:rPr>
          <w:rFonts w:ascii="Times New Roman" w:eastAsia="Times New Roman" w:hAnsi="Times New Roman" w:cs="Times New Roman"/>
          <w:i/>
          <w:sz w:val="18"/>
          <w:szCs w:val="18"/>
          <w:lang w:val="en-US"/>
        </w:rPr>
        <w:t>: Data Visualization for Statistics in Social Science</w:t>
      </w:r>
      <w:r w:rsidRPr="00C90D83">
        <w:rPr>
          <w:rFonts w:ascii="Times New Roman" w:eastAsia="Times New Roman" w:hAnsi="Times New Roman" w:cs="Times New Roman"/>
          <w:sz w:val="18"/>
          <w:szCs w:val="18"/>
          <w:lang w:val="en-US"/>
        </w:rPr>
        <w:t xml:space="preserve">. </w:t>
      </w:r>
      <w:r>
        <w:rPr>
          <w:rFonts w:ascii="Times New Roman" w:eastAsia="Times New Roman" w:hAnsi="Times New Roman" w:cs="Times New Roman"/>
          <w:sz w:val="18"/>
          <w:szCs w:val="18"/>
        </w:rPr>
        <w:t>[Online]. Disponible en: https://cran.r-project.org/web/packages/sjPlot/index.html.</w:t>
      </w:r>
    </w:p>
    <w:p w:rsidR="003C5B36" w:rsidRPr="00C90D83" w:rsidRDefault="00283F03">
      <w:pPr>
        <w:spacing w:after="40"/>
        <w:ind w:left="227" w:hanging="227"/>
        <w:rPr>
          <w:rFonts w:ascii="Times New Roman" w:eastAsia="Times New Roman" w:hAnsi="Times New Roman" w:cs="Times New Roman"/>
          <w:sz w:val="18"/>
          <w:szCs w:val="18"/>
          <w:lang w:val="en-US"/>
        </w:rPr>
      </w:pPr>
      <w:r w:rsidRPr="00C90D83">
        <w:rPr>
          <w:rFonts w:ascii="Times New Roman" w:eastAsia="Times New Roman" w:hAnsi="Times New Roman" w:cs="Times New Roman"/>
          <w:sz w:val="18"/>
          <w:szCs w:val="18"/>
          <w:lang w:val="en-US"/>
        </w:rPr>
        <w:t>[4] R Core Team (2017). R: A Language and Environment for Statistical Computing.</w:t>
      </w:r>
    </w:p>
    <w:p w:rsidR="003C5B36" w:rsidRDefault="00283F03">
      <w:pPr>
        <w:spacing w:after="40"/>
        <w:ind w:left="227" w:hanging="227"/>
        <w:rPr>
          <w:sz w:val="18"/>
          <w:szCs w:val="18"/>
        </w:rPr>
      </w:pPr>
      <w:r w:rsidRPr="00C90D83">
        <w:rPr>
          <w:sz w:val="18"/>
          <w:szCs w:val="18"/>
          <w:lang w:val="en-US"/>
        </w:rPr>
        <w:t xml:space="preserve">[5] Wickham, H. (2016). </w:t>
      </w:r>
      <w:r w:rsidRPr="00C90D83">
        <w:rPr>
          <w:i/>
          <w:sz w:val="18"/>
          <w:szCs w:val="18"/>
          <w:lang w:val="en-US"/>
        </w:rPr>
        <w:t>ggplot2: elegant graphics for data analysis</w:t>
      </w:r>
      <w:r w:rsidRPr="00C90D83">
        <w:rPr>
          <w:sz w:val="18"/>
          <w:szCs w:val="18"/>
          <w:lang w:val="en-US"/>
        </w:rPr>
        <w:t xml:space="preserve">. </w:t>
      </w:r>
      <w:r>
        <w:rPr>
          <w:sz w:val="18"/>
          <w:szCs w:val="18"/>
        </w:rPr>
        <w:t>Springer.</w:t>
      </w:r>
    </w:p>
    <w:p w:rsidR="00283F03" w:rsidRPr="008253DD" w:rsidRDefault="00283F03" w:rsidP="008253DD">
      <w:pPr>
        <w:keepNext/>
        <w:keepLines/>
        <w:tabs>
          <w:tab w:val="left" w:pos="454"/>
        </w:tabs>
        <w:spacing w:before="520" w:after="280"/>
        <w:ind w:firstLine="0"/>
        <w:rPr>
          <w:b/>
          <w:sz w:val="24"/>
          <w:szCs w:val="24"/>
        </w:rPr>
        <w:sectPr w:rsidR="00283F03" w:rsidRPr="008253DD">
          <w:pgSz w:w="11906" w:h="16838"/>
          <w:pgMar w:top="2948" w:right="2495" w:bottom="1478" w:left="2495" w:header="0" w:footer="0" w:gutter="0"/>
          <w:pgNumType w:start="1"/>
          <w:cols w:space="720"/>
        </w:sectPr>
      </w:pPr>
    </w:p>
    <w:p w:rsidR="008253DD" w:rsidRDefault="008253DD" w:rsidP="008253DD">
      <w:pPr>
        <w:tabs>
          <w:tab w:val="left" w:pos="454"/>
        </w:tabs>
        <w:ind w:firstLine="0"/>
        <w:rPr>
          <w:b/>
        </w:rPr>
        <w:sectPr w:rsidR="008253DD" w:rsidSect="008253DD">
          <w:type w:val="continuous"/>
          <w:pgSz w:w="11906" w:h="16838"/>
          <w:pgMar w:top="2948" w:right="2495" w:bottom="1478" w:left="2495" w:header="0" w:footer="0" w:gutter="0"/>
          <w:pgNumType w:start="1"/>
          <w:cols w:space="720"/>
        </w:sectPr>
      </w:pPr>
    </w:p>
    <w:p w:rsidR="008253DD" w:rsidRPr="008253DD" w:rsidRDefault="008253DD" w:rsidP="008253DD">
      <w:pPr>
        <w:tabs>
          <w:tab w:val="left" w:pos="454"/>
        </w:tabs>
        <w:ind w:firstLine="0"/>
        <w:rPr>
          <w:highlight w:val="yellow"/>
          <w:lang w:val="en-US"/>
        </w:rPr>
      </w:pPr>
    </w:p>
    <w:sectPr w:rsidR="008253DD" w:rsidRPr="008253DD" w:rsidSect="00283F03">
      <w:type w:val="continuous"/>
      <w:pgSz w:w="11906" w:h="16838"/>
      <w:pgMar w:top="2948" w:right="2495" w:bottom="1478" w:left="2495" w:header="0" w:footer="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93336"/>
    <w:multiLevelType w:val="multilevel"/>
    <w:tmpl w:val="C99C0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016F8"/>
    <w:multiLevelType w:val="multilevel"/>
    <w:tmpl w:val="A8881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1308C4"/>
    <w:multiLevelType w:val="multilevel"/>
    <w:tmpl w:val="DDEEB8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A511B0"/>
    <w:multiLevelType w:val="multilevel"/>
    <w:tmpl w:val="66B8F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3C5B36"/>
    <w:rsid w:val="00032A91"/>
    <w:rsid w:val="000E65F1"/>
    <w:rsid w:val="00283F03"/>
    <w:rsid w:val="0033498E"/>
    <w:rsid w:val="003C5B36"/>
    <w:rsid w:val="008253DD"/>
    <w:rsid w:val="00AA491C"/>
    <w:rsid w:val="00C90D83"/>
    <w:rsid w:val="00D6295D"/>
    <w:rsid w:val="00E124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6E73"/>
  <w15:docId w15:val="{A0DED3C1-981B-457C-9562-F211920C6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color w:val="00000A"/>
        <w:lang w:val="es-AR" w:eastAsia="es-AR" w:bidi="ar-SA"/>
      </w:rPr>
    </w:rPrDefault>
    <w:pPrDefault>
      <w:pPr>
        <w:ind w:firstLine="22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tabs>
        <w:tab w:val="left" w:pos="284"/>
      </w:tabs>
      <w:spacing w:after="460"/>
      <w:jc w:val="center"/>
    </w:pPr>
    <w:rPr>
      <w:b/>
      <w:sz w:val="28"/>
      <w:szCs w:val="28"/>
    </w:rPr>
  </w:style>
  <w:style w:type="paragraph" w:styleId="Subttulo">
    <w:name w:val="Subtitle"/>
    <w:basedOn w:val="Normal"/>
    <w:next w:val="Normal"/>
    <w:pPr>
      <w:keepNext/>
      <w:spacing w:before="240" w:after="120"/>
      <w:jc w:val="center"/>
    </w:pPr>
    <w:rPr>
      <w:rFonts w:ascii="Arial" w:eastAsia="Arial" w:hAnsi="Arial" w:cs="Arial"/>
      <w:b/>
      <w: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704</TotalTime>
  <Pages>13</Pages>
  <Words>3762</Words>
  <Characters>20695</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p:lastModifiedBy>
  <cp:revision>5</cp:revision>
  <dcterms:created xsi:type="dcterms:W3CDTF">2018-07-10T02:28:00Z</dcterms:created>
  <dcterms:modified xsi:type="dcterms:W3CDTF">2018-07-10T14:16:00Z</dcterms:modified>
</cp:coreProperties>
</file>