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OmniFood8K 论文深度分析报告</w:t>
      </w:r>
    </w:p>
    <w:p>
      <w:pPr>
        <w:spacing w:after="80" w:before="0"/>
        <w:jc w:val="center"/>
      </w:pPr>
      <w:r>
        <w:rPr>
          <w:rFonts w:ascii="Cambria" w:cs="Cambria" w:eastAsia="Cambria" w:hAnsi="Cambria"/>
          <w:i/>
          <w:iCs/>
          <w:color w:val="555555"/>
          <w:sz w:val="28"/>
          <w:szCs w:val="28"/>
        </w:rPr>
        <w:t xml:space="preserve">单图像营养估计：层次化频率对齐融合方法</w:t>
      </w:r>
    </w:p>
    <w:p>
      <w:pPr>
        <w:spacing w:after="400" w:before="0"/>
        <w:jc w:val="center"/>
      </w:pPr>
      <w:r>
        <w:rPr>
          <w:rFonts w:ascii="Cambria" w:cs="Cambria" w:eastAsia="Cambria" w:hAnsi="Cambria"/>
          <w:color w:val="888888"/>
          <w:sz w:val="20"/>
          <w:szCs w:val="20"/>
        </w:rPr>
        <w:t xml:space="preserve">分析日期：2025年6月4日  |  论文来源：arXiv:2604.12356v1</w:t>
      </w:r>
    </w:p>
    <w:p>
      <w:pPr>
        <w:pStyle w:val="Heading1"/>
      </w:pPr>
      <w:r>
        <w:t xml:space="preserve">目录</w:t>
      </w:r>
    </w:p>
    <w:p>
      <w:pPr>
        <w:spacing w:after="60" w:before="60"/>
      </w:pPr>
      <w:hyperlink w:history="1" w:anchor="sec-background">
        <w:r>
          <w:rPr>
            <w:rStyle w:val="Hyperlink"/>
            <w:sz w:val="22"/>
            <w:szCs w:val="22"/>
          </w:rPr>
          <w:t xml:space="preserve">一、研究背景与问题定义</w:t>
        </w:r>
      </w:hyperlink>
    </w:p>
    <w:p>
      <w:pPr>
        <w:spacing w:after="60" w:before="60"/>
      </w:pPr>
      <w:hyperlink w:history="1" w:anchor="sec-contributions">
        <w:r>
          <w:rPr>
            <w:rStyle w:val="Hyperlink"/>
            <w:sz w:val="22"/>
            <w:szCs w:val="22"/>
          </w:rPr>
          <w:t xml:space="preserve">二、核心贡献概览</w:t>
        </w:r>
      </w:hyperlink>
    </w:p>
    <w:p>
      <w:pPr>
        <w:spacing w:after="60" w:before="60"/>
      </w:pPr>
      <w:hyperlink w:history="1" w:anchor="sec-dataset">
        <w:r>
          <w:rPr>
            <w:rStyle w:val="Hyperlink"/>
            <w:sz w:val="22"/>
            <w:szCs w:val="22"/>
          </w:rPr>
          <w:t xml:space="preserve">三、OmniFood8K 数据集详解</w:t>
        </w:r>
      </w:hyperlink>
    </w:p>
    <w:p>
      <w:pPr>
        <w:spacing w:after="60" w:before="60"/>
      </w:pPr>
      <w:hyperlink w:history="1" w:anchor="sec-method">
        <w:r>
          <w:rPr>
            <w:rStyle w:val="Hyperlink"/>
            <w:sz w:val="22"/>
            <w:szCs w:val="22"/>
          </w:rPr>
          <w:t xml:space="preserve">四、方法论深度解析</w:t>
        </w:r>
      </w:hyperlink>
    </w:p>
    <w:p>
      <w:pPr>
        <w:spacing w:after="60" w:before="60"/>
      </w:pPr>
      <w:hyperlink w:history="1" w:anchor="sec-experiments">
        <w:r>
          <w:rPr>
            <w:rStyle w:val="Hyperlink"/>
            <w:sz w:val="22"/>
            <w:szCs w:val="22"/>
          </w:rPr>
          <w:t xml:space="preserve">五、实验结果与性能分析</w:t>
        </w:r>
      </w:hyperlink>
    </w:p>
    <w:p>
      <w:pPr>
        <w:spacing w:after="60" w:before="60"/>
      </w:pPr>
      <w:hyperlink w:history="1" w:anchor="sec-innovation">
        <w:r>
          <w:rPr>
            <w:rStyle w:val="Hyperlink"/>
            <w:sz w:val="22"/>
            <w:szCs w:val="22"/>
          </w:rPr>
          <w:t xml:space="preserve">六、创新点评价</w:t>
        </w:r>
      </w:hyperlink>
    </w:p>
    <w:p>
      <w:pPr>
        <w:spacing w:after="60" w:before="60"/>
      </w:pPr>
      <w:hyperlink w:history="1" w:anchor="sec-limitations">
        <w:r>
          <w:rPr>
            <w:rStyle w:val="Hyperlink"/>
            <w:sz w:val="22"/>
            <w:szCs w:val="22"/>
          </w:rPr>
          <w:t xml:space="preserve">七、局限性与未来方向</w:t>
        </w:r>
      </w:hyperlink>
    </w:p>
    <w:p>
      <w:pPr>
        <w:spacing w:after="60" w:before="60"/>
      </w:pPr>
      <w:hyperlink w:history="1" w:anchor="sec-conclusion">
        <w:r>
          <w:rPr>
            <w:rStyle w:val="Hyperlink"/>
            <w:sz w:val="22"/>
            <w:szCs w:val="22"/>
          </w:rPr>
          <w:t xml:space="preserve">八、综合评价</w:t>
        </w:r>
      </w:hyperlink>
    </w:p>
    <w:p>
      <w:pPr>
        <w:pStyle w:val="Heading1"/>
      </w:pPr>
      <w:bookmarkStart w:name="sec-background" w:id="1"/>
      <w:r>
        <w:t xml:space="preserve">一、研究背景与问题定义</w:t>
      </w:r>
      <w:bookmarkEnd w:id="1"/>
    </w:p>
    <w:p>
      <w:r>
        <w:rPr>
          <w:b/>
          <w:bCs/>
          <w:color w:val="2E74B5"/>
          <w:sz w:val="26"/>
          <w:szCs w:val="26"/>
        </w:rPr>
        <w:t xml:space="preserve">1.1 研究动机</w:t>
      </w:r>
    </w:p>
    <w:p>
      <w:r>
        <w:t xml:space="preserve">随着生活水平的提升与饮食习惯的多元化，食物营养评估已成为公共卫生与个人健康管理领域的重要研究课题。准确估计食物的能量与营养素摄入，对于预防肥胖、糖尿病、心血管疾病等慢性病具有重要意义。然而，传统营养评估方法（如人工记录、专家估算）不仅耗时费力，还容易引入主观偏差，难以在日常场景中实现准确、一致的评估。</w:t>
      </w:r>
    </w:p>
    <w:p>
      <w:r>
        <w:t xml:space="preserve">近年来，计算机视觉与多模态学习的快速发展为自动化食物营养评估提供了新的技术路径。深度学习技术在食物图像识别、分割与营养成分估计方面展现出巨大潜力，多模态特征（如文本描述、传感器数据）的融合进一步提升了估计精度。</w:t>
      </w:r>
    </w:p>
    <w:p>
      <w:r>
        <w:rPr>
          <w:b/>
          <w:bCs/>
          <w:color w:val="2E74B5"/>
          <w:sz w:val="26"/>
          <w:szCs w:val="26"/>
        </w:rPr>
        <w:t xml:space="preserve">1.2 现有方法的两大核心瓶颈</w:t>
      </w:r>
    </w:p>
    <w:p>
      <w:r>
        <w:t xml:space="preserve">本文作者明确指出当前领域面临的两个根本性限制：</w:t>
      </w:r>
    </w:p>
    <w:p>
      <w:pPr>
        <w:pStyle w:val="ListParagraph"/>
        <w:numPr>
          <w:ilvl w:val="0"/>
          <w:numId w:val="2"/>
        </w:numPr>
      </w:pPr>
      <w:r>
        <w:rPr>
          <w:b/>
          <w:bCs/>
        </w:rPr>
        <w:t xml:space="preserve">数据层面的局限性：</w:t>
      </w:r>
      <w:r>
        <w:t xml:space="preserve">现有数据集严重偏向西方菜系，对中国菜肴的覆盖极为有限。中国食物具有食材多样、配比复杂、烹饪方式非标准化等特点，使得可靠标注与定量营养分析尤为困难。</w:t>
      </w:r>
    </w:p>
    <w:p>
      <w:pPr>
        <w:pStyle w:val="ListParagraph"/>
        <w:numPr>
          <w:ilvl w:val="0"/>
          <w:numId w:val="2"/>
        </w:numPr>
      </w:pPr>
      <w:r>
        <w:rPr>
          <w:b/>
          <w:bCs/>
        </w:rPr>
        <w:t xml:space="preserve">算法层面的局限性：</w:t>
      </w:r>
      <w:r>
        <w:t xml:space="preserve">许多先进方法依赖深度相机（RGB-D）采集的深度图进行精确营养估计。然而，在绝大多数真实场景中，用户仅使用普通RGB相机拍摄食物照片，深度传感器的依赖严重制约了这些方法的实际可用性。</w:t>
      </w:r>
    </w:p>
    <w:p>
      <w:pPr>
        <w:pStyle w:val="Heading1"/>
      </w:pPr>
      <w:bookmarkStart w:name="sec-contributions" w:id="1"/>
      <w:r>
        <w:t xml:space="preserve">二、核心贡献概览</w:t>
      </w:r>
      <w:bookmarkEnd w:id="1"/>
    </w:p>
    <w:p>
      <w:r>
        <w:t xml:space="preserve">本文提出了两大核心贡献，分别从数据与算法两个维度系统性地解决上述瓶颈：</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100"/>
          <w:left w:type="dxa" w:w="180"/>
          <w:bottom w:type="dxa" w:w="100"/>
          <w:right w:type="dxa" w:w="180"/>
        </w:tblCellMar>
      </w:tblPr>
      <w:tblGrid>
        <w:gridCol w:w="2200"/>
        <w:gridCol w:w="7160"/>
      </w:tblGrid>
      <w:tr>
        <w:trPr>
          <w:tblHeader/>
        </w:trPr>
        <w:tc>
          <w:tcPr>
            <w:tcW w:type="dxa" w:w="2200"/>
            <w:tcBorders>
              <w:top w:val="none" w:color="FFFFFF" w:sz="0"/>
              <w:left w:val="none" w:color="FFFFFF" w:sz="0"/>
              <w:bottom w:val="single" w:color="4F81BD" w:sz="6"/>
              <w:right w:val="none" w:color="FFFFFF" w:sz="0"/>
            </w:tcBorders>
          </w:tcPr>
          <w:p>
            <w:pPr>
              <w:jc w:val="center"/>
            </w:pPr>
            <w:r>
              <w:rPr>
                <w:b/>
                <w:bCs/>
                <w:sz w:val="22"/>
                <w:szCs w:val="22"/>
              </w:rPr>
              <w:t xml:space="preserve">贡献类别</w:t>
            </w:r>
          </w:p>
        </w:tc>
        <w:tc>
          <w:tcPr>
            <w:tcW w:type="dxa" w:w="7160"/>
            <w:tcBorders>
              <w:top w:val="none" w:color="FFFFFF" w:sz="0"/>
              <w:left w:val="none" w:color="FFFFFF" w:sz="0"/>
              <w:bottom w:val="single" w:color="4F81BD" w:sz="6"/>
              <w:right w:val="none" w:color="FFFFFF" w:sz="0"/>
            </w:tcBorders>
          </w:tcPr>
          <w:p>
            <w:pPr>
              <w:jc w:val="center"/>
            </w:pPr>
            <w:r>
              <w:rPr>
                <w:b/>
                <w:bCs/>
                <w:sz w:val="22"/>
                <w:szCs w:val="22"/>
              </w:rPr>
              <w:t xml:space="preserve">具体内容</w:t>
            </w:r>
          </w:p>
        </w:tc>
      </w:tr>
      <w:tr>
        <w:tc>
          <w:tcPr>
            <w:tcW w:type="dxa" w:w="2200"/>
            <w:tcBorders>
              <w:top w:val="none" w:color="FFFFFF" w:sz="0"/>
              <w:left w:val="none" w:color="FFFFFF" w:sz="0"/>
              <w:bottom w:val="none" w:color="FFFFFF" w:sz="0"/>
              <w:right w:val="none" w:color="FFFFFF" w:sz="0"/>
            </w:tcBorders>
          </w:tcPr>
          <w:p>
            <w:r>
              <w:rPr>
                <w:b/>
                <w:bCs/>
                <w:color w:val="2E74B5"/>
              </w:rPr>
              <w:t xml:space="preserve">数据集贡献</w:t>
            </w:r>
          </w:p>
        </w:tc>
        <w:tc>
          <w:tcPr>
            <w:tcW w:type="dxa" w:w="7160"/>
            <w:tcBorders>
              <w:top w:val="none" w:color="FFFFFF" w:sz="0"/>
              <w:left w:val="none" w:color="FFFFFF" w:sz="0"/>
              <w:bottom w:val="none" w:color="FFFFFF" w:sz="0"/>
              <w:right w:val="none" w:color="FFFFFF" w:sz="0"/>
            </w:tcBorders>
          </w:tcPr>
          <w:p>
            <w:r>
              <w:t xml:space="preserve">OmniFood8K：8,036个真实食物样本，含多视角图像、食材重量、食谱、烹饪视频及详细营养标注</w:t>
            </w:r>
          </w:p>
          <w:p>
            <w:r>
              <w:t xml:space="preserve">NutritionSynth-115K：115,000张合成图像，具备精确营养标签，用于模型预训练</w:t>
            </w:r>
          </w:p>
        </w:tc>
      </w:tr>
      <w:tr>
        <w:tc>
          <w:tcPr>
            <w:tcW w:type="dxa" w:w="2200"/>
            <w:tcBorders>
              <w:top w:val="none" w:color="FFFFFF" w:sz="0"/>
              <w:left w:val="none" w:color="FFFFFF" w:sz="0"/>
              <w:bottom w:val="none" w:color="FFFFFF" w:sz="0"/>
              <w:right w:val="none" w:color="FFFFFF" w:sz="0"/>
            </w:tcBorders>
          </w:tcPr>
          <w:p>
            <w:r>
              <w:rPr>
                <w:b/>
                <w:bCs/>
                <w:color w:val="2E74B5"/>
              </w:rPr>
              <w:t xml:space="preserve">算法贡献</w:t>
            </w:r>
          </w:p>
        </w:tc>
        <w:tc>
          <w:tcPr>
            <w:tcW w:type="dxa" w:w="7160"/>
            <w:tcBorders>
              <w:top w:val="none" w:color="FFFFFF" w:sz="0"/>
              <w:left w:val="none" w:color="FFFFFF" w:sz="0"/>
              <w:bottom w:val="none" w:color="FFFFFF" w:sz="0"/>
              <w:right w:val="none" w:color="FFFFFF" w:sz="0"/>
            </w:tcBorders>
          </w:tcPr>
          <w:p>
            <w:r>
              <w:t xml:space="preserve">端到端框架：仅需单张RGB图像即可预测完整营养信息（热量、质量、脂肪、碳水、蛋白质）</w:t>
            </w:r>
          </w:p>
          <w:p>
            <w:r>
              <w:t xml:space="preserve">三大核心模块：SSRA（尺度偏移残差适配器）、FAFM（频率对齐融合模块）、MPH（掩码预测头）</w:t>
            </w:r>
          </w:p>
        </w:tc>
      </w:tr>
    </w:tbl>
    <w:p>
      <w:pPr>
        <w:pStyle w:val="Heading1"/>
      </w:pPr>
      <w:bookmarkStart w:name="sec-dataset" w:id="1"/>
      <w:r>
        <w:t xml:space="preserve">三、OmniFood8K 数据集详解</w:t>
      </w:r>
      <w:bookmarkEnd w:id="1"/>
    </w:p>
    <w:p>
      <w:r>
        <w:rPr>
          <w:b/>
          <w:bCs/>
          <w:color w:val="2E74B5"/>
          <w:sz w:val="26"/>
          <w:szCs w:val="26"/>
        </w:rPr>
        <w:t xml:space="preserve">3.1 数据采集流程</w:t>
      </w:r>
    </w:p>
    <w:p>
      <w:r>
        <w:t xml:space="preserve">OmniFood8K涵盖8,036个食物样本，代表了中国日常饮食中广泛消费的菜肴类别。数据采集遵循严格的结构化流程：首先对原料进行称重与拍照，随后录制完整烹饪过程视频并记录文字食谱，最终从六个视角同步拍摄成品菜肴。六个摄像机中，两台位于正上方，另外四台分别置于前、后、左、右四个方向，拍摄高度统一设定为50厘米（近似成人肘部高度），兼顾了实用性与标准化。</w:t>
      </w:r>
    </w:p>
    <w:p>
      <w:r>
        <w:rPr>
          <w:b/>
          <w:bCs/>
          <w:color w:val="2E74B5"/>
          <w:sz w:val="26"/>
          <w:szCs w:val="26"/>
        </w:rPr>
        <w:t xml:space="preserve">3.2 标注体系</w:t>
      </w:r>
    </w:p>
    <w:p>
      <w:r>
        <w:t xml:space="preserve">营养标注基于真实食材重量测量与官方营养数据库计算，确保了标注的高精度与可靠性。这与其他依赖网络爬取标签或大语言模型生成标注的数据集形成鲜明对比。具体标注内容包括：每种食材的重量与营养成分（热量、蛋白质、脂肪、碳水化合物），以及整道菜肴的汇总营养信息。</w:t>
      </w:r>
    </w:p>
    <w:p>
      <w:r>
        <w:rPr>
          <w:b/>
          <w:bCs/>
          <w:color w:val="2E74B5"/>
          <w:sz w:val="26"/>
          <w:szCs w:val="26"/>
        </w:rPr>
        <w:t xml:space="preserve">3.3 数据集核心特性</w:t>
      </w:r>
    </w:p>
    <w:p>
      <w:pPr>
        <w:pStyle w:val="ListParagraph"/>
        <w:numPr>
          <w:ilvl w:val="0"/>
          <w:numId w:val="3"/>
        </w:numPr>
      </w:pPr>
      <w:r>
        <w:rPr>
          <w:b/>
          <w:bCs/>
        </w:rPr>
        <w:t xml:space="preserve">多模态性：</w:t>
      </w:r>
      <w:r>
        <w:t xml:space="preserve">同时包含图像、结构化食谱描述、烹饪视频与详细营养标注，支持多种下游任务。</w:t>
      </w:r>
    </w:p>
    <w:p>
      <w:pPr>
        <w:pStyle w:val="ListParagraph"/>
        <w:numPr>
          <w:ilvl w:val="0"/>
          <w:numId w:val="3"/>
        </w:numPr>
      </w:pPr>
      <w:r>
        <w:rPr>
          <w:b/>
          <w:bCs/>
        </w:rPr>
        <w:t xml:space="preserve">全流程覆盖：</w:t>
      </w:r>
      <w:r>
        <w:t xml:space="preserve">从原料准备到成品呈现，完整记录烹饪全过程，是首个覆盖食物制备全流程的数据集。</w:t>
      </w:r>
    </w:p>
    <w:p>
      <w:pPr>
        <w:pStyle w:val="ListParagraph"/>
        <w:numPr>
          <w:ilvl w:val="0"/>
          <w:numId w:val="3"/>
        </w:numPr>
      </w:pPr>
      <w:r>
        <w:rPr>
          <w:b/>
          <w:bCs/>
        </w:rPr>
        <w:t xml:space="preserve">因果关系保留：</w:t>
      </w:r>
      <w:r>
        <w:t xml:space="preserve">通过食谱描述与烹饪视频，保留了从原料到成品的因果链条，支持烹饪推理等高级任务。</w:t>
      </w:r>
    </w:p>
    <w:p>
      <w:pPr>
        <w:pStyle w:val="ListParagraph"/>
        <w:numPr>
          <w:ilvl w:val="0"/>
          <w:numId w:val="3"/>
        </w:numPr>
      </w:pPr>
      <w:r>
        <w:rPr>
          <w:b/>
          <w:bCs/>
        </w:rPr>
        <w:t xml:space="preserve">标注精确性：</w:t>
      </w:r>
      <w:r>
        <w:t xml:space="preserve">基于真实重量测量与标准化数据库计算，避免了网络爬取或AI生成标注的噪声问题。</w:t>
      </w:r>
    </w:p>
    <w:p>
      <w:r>
        <w:rPr>
          <w:b/>
          <w:bCs/>
          <w:color w:val="2E74B5"/>
          <w:sz w:val="26"/>
          <w:szCs w:val="26"/>
        </w:rPr>
        <w:t xml:space="preserve">3.4 与现有数据集的对比</w:t>
      </w:r>
    </w:p>
    <w:p>
      <w:r>
        <w:t xml:space="preserve">与主流食物数据集相比，OmniFood8K在功能完整性上具有显著优势。Food-101、ISIA Food-500等数据集仅提供食物图像与分类标签；Nutrition5k虽包含营养标注，但主要聚焦西方菜肴且规模有限（5,066样本）；MetaFood3D提供3D食物对象但样本量仅637个。OmniFood8K以8,036个样本同时具备食材图像、多视角食物图像、食谱、烹饪视频与营养信息，是目前功能最为全面的食物营养数据集。</w:t>
      </w:r>
    </w:p>
    <w:p>
      <w:r>
        <w:rPr>
          <w:b/>
          <w:bCs/>
          <w:color w:val="2E74B5"/>
          <w:sz w:val="26"/>
          <w:szCs w:val="26"/>
        </w:rPr>
        <w:t xml:space="preserve">3.5 NutritionSynth-115K 合成数据集</w:t>
      </w:r>
    </w:p>
    <w:p>
      <w:r>
        <w:t xml:space="preserve">为进一步提升模型的营养预测能力，作者构建了NutritionSynth-115K合成数据集。具体方法是对OmniFood8K中的食物图像进行前景分割，提取单个食物项目，再按原始比例进行裁剪或重新组合，生成具有组合多样性的合成样本，同时保留精确的营养标签。该数据集包含115,000张图像，可用于模型预训练，显著提升模型在真实数据上的泛化能力。</w:t>
      </w:r>
    </w:p>
    <w:p>
      <w:pPr>
        <w:pStyle w:val="Heading1"/>
      </w:pPr>
      <w:bookmarkStart w:name="sec-method" w:id="1"/>
      <w:r>
        <w:t xml:space="preserve">四、方法论深度解析</w:t>
      </w:r>
      <w:bookmarkEnd w:id="1"/>
    </w:p>
    <w:p>
      <w:r>
        <w:t xml:space="preserve">本文提出的端到端框架以单张RGB图像为输入，通过三个核心模块协同工作，最终输出食物的完整营养信息。整体流程为：RGB图像 → 深度估计 → SSRA精化 → FAFM融合 → MPH预测。</w:t>
      </w:r>
    </w:p>
    <w:p>
      <w:r>
        <w:rPr>
          <w:b/>
          <w:bCs/>
          <w:color w:val="2E74B5"/>
          <w:sz w:val="26"/>
          <w:szCs w:val="26"/>
        </w:rPr>
        <w:t xml:space="preserve">4.1 尺度偏移残差适配器（SSRA）</w:t>
      </w:r>
    </w:p>
    <w:p>
      <w:r>
        <w:t xml:space="preserve">SSRA模块的设计目标是解决单目深度估计中普遍存在的尺度模糊与偏移误差问题。该模块采用两级校正策略：</w:t>
      </w:r>
    </w:p>
    <w:p>
      <w:pPr>
        <w:pStyle w:val="ListParagraph"/>
        <w:numPr>
          <w:ilvl w:val="0"/>
          <w:numId w:val="4"/>
        </w:numPr>
      </w:pPr>
      <w:r>
        <w:rPr>
          <w:b/>
          <w:bCs/>
        </w:rPr>
        <w:t xml:space="preserve">全局校正：</w:t>
      </w:r>
      <w:r>
        <w:t xml:space="preserve">引入可学习的缩放因子α和偏移参数β，对单目深度估计模型（Depth Anything V2）输出的深度图进行全局线性变换（d_global = α·d_mono + β），有效消除整体尺度偏差。</w:t>
      </w:r>
    </w:p>
    <w:p>
      <w:pPr>
        <w:pStyle w:val="ListParagraph"/>
        <w:numPr>
          <w:ilvl w:val="0"/>
          <w:numId w:val="4"/>
        </w:numPr>
      </w:pPr>
      <w:r>
        <w:rPr>
          <w:b/>
          <w:bCs/>
        </w:rPr>
        <w:t xml:space="preserve">局部精化：</w:t>
      </w:r>
      <w:r>
        <w:t xml:space="preserve">在全局校正基础上，通过浅层卷积残差精化模块f_θ(·)增强局部结构细节，修正几何畸变，最终输出d_out = d_global + d_res。</w:t>
      </w:r>
    </w:p>
    <w:p>
      <w:r>
        <w:t xml:space="preserve">SSRA的轻量化设计使其在不显著增加计算开销的前提下，有效提升了深度图的质量，为后续多模态融合奠定了基础。</w:t>
      </w:r>
    </w:p>
    <w:p>
      <w:r>
        <w:rPr>
          <w:b/>
          <w:bCs/>
          <w:color w:val="2E74B5"/>
          <w:sz w:val="26"/>
          <w:szCs w:val="26"/>
        </w:rPr>
        <w:t xml:space="preserve">4.2 频率对齐融合模块（FAFM）</w:t>
      </w:r>
    </w:p>
    <w:p>
      <w:r>
        <w:t xml:space="preserve">FAFM是本文最具创新性的技术贡献之一。其核心思想是在频率域对RGB与深度特征进行对齐与融合，而非直接在空间域进行特征拼接。具体流程如下：</w:t>
      </w:r>
    </w:p>
    <w:p>
      <w:pPr>
        <w:pStyle w:val="ListParagraph"/>
        <w:numPr>
          <w:ilvl w:val="0"/>
          <w:numId w:val="5"/>
        </w:numPr>
      </w:pPr>
      <w:r>
        <w:rPr>
          <w:b/>
          <w:bCs/>
        </w:rPr>
        <w:t xml:space="preserve">频率分解：</w:t>
      </w:r>
      <w:r>
        <w:t xml:space="preserve">对RGB特征图r和深度特征图d分别施加二维快速傅里叶变换（2D FFT），得到频率域表示R_f和D_f。</w:t>
      </w:r>
    </w:p>
    <w:p>
      <w:pPr>
        <w:pStyle w:val="ListParagraph"/>
        <w:numPr>
          <w:ilvl w:val="0"/>
          <w:numId w:val="5"/>
        </w:numPr>
      </w:pPr>
      <w:r>
        <w:rPr>
          <w:b/>
          <w:bCs/>
        </w:rPr>
        <w:t xml:space="preserve">频率分离：</w:t>
      </w:r>
      <w:r>
        <w:t xml:space="preserve">基于预定义频率阈值κ构建低频掩码M_L，将两种模态的特征分别分离为低频分量（全局结构）和高频分量（局部细节）。</w:t>
      </w:r>
    </w:p>
    <w:p>
      <w:pPr>
        <w:pStyle w:val="ListParagraph"/>
        <w:numPr>
          <w:ilvl w:val="0"/>
          <w:numId w:val="5"/>
        </w:numPr>
      </w:pPr>
      <w:r>
        <w:rPr>
          <w:b/>
          <w:bCs/>
        </w:rPr>
        <w:t xml:space="preserve">多频融合：</w:t>
      </w:r>
      <w:r>
        <w:t xml:space="preserve">对应频率分量进行逐元素相加（F_H = R_H + D_H，F_L = R_L + D_L），再通过可学习卷积层自适应压缩整合，生成最终跨模态特征表示O = Conv([F_H, F_L])。</w:t>
      </w:r>
    </w:p>
    <w:p>
      <w:pPr>
        <w:pStyle w:val="ListParagraph"/>
        <w:numPr>
          <w:ilvl w:val="0"/>
          <w:numId w:val="5"/>
        </w:numPr>
      </w:pPr>
      <w:r>
        <w:rPr>
          <w:b/>
          <w:bCs/>
        </w:rPr>
        <w:t xml:space="preserve">跨模态对齐损失：</w:t>
      </w:r>
      <w:r>
        <w:t xml:space="preserve">引入基于余弦相似度的对比学习损失L_align，促使同一样本的RGB与深度特征在语义空间中相互靠近，增强跨模态表示的一致性。</w:t>
      </w:r>
    </w:p>
    <w:p>
      <w:r>
        <w:rPr>
          <w:b/>
          <w:bCs/>
          <w:color w:val="2E74B5"/>
          <w:sz w:val="26"/>
          <w:szCs w:val="26"/>
        </w:rPr>
        <w:t xml:space="preserve">4.3 掩码预测头（MPH）</w:t>
      </w:r>
    </w:p>
    <w:p>
      <w:r>
        <w:t xml:space="preserve">MPH模块负责从融合后的多尺度特征中提取关键食材区域信息，并最终输出营养预测值。其工作流程包括：</w:t>
      </w:r>
    </w:p>
    <w:p>
      <w:pPr>
        <w:pStyle w:val="ListParagraph"/>
        <w:numPr>
          <w:ilvl w:val="0"/>
          <w:numId w:val="6"/>
        </w:numPr>
      </w:pPr>
      <w:r>
        <w:rPr>
          <w:b/>
          <w:bCs/>
        </w:rPr>
        <w:t xml:space="preserve">特征统一：</w:t>
      </w:r>
      <w:r>
        <w:t xml:space="preserve">对来自不同来源的特征图（多尺度RGB特征与语义特征）进行卷积操作和自适应平均池化，统一空间维度。</w:t>
      </w:r>
    </w:p>
    <w:p>
      <w:pPr>
        <w:pStyle w:val="ListParagraph"/>
        <w:numPr>
          <w:ilvl w:val="0"/>
          <w:numId w:val="6"/>
        </w:numPr>
      </w:pPr>
      <w:r>
        <w:rPr>
          <w:b/>
          <w:bCs/>
        </w:rPr>
        <w:t xml:space="preserve">跨注意力机制：</w:t>
      </w:r>
      <w:r>
        <w:t xml:space="preserve">通过Cross-Attention实现RGB特征与语义特征之间的信息交互，捕捉跨模态相关性。</w:t>
      </w:r>
    </w:p>
    <w:p>
      <w:pPr>
        <w:pStyle w:val="ListParagraph"/>
        <w:numPr>
          <w:ilvl w:val="0"/>
          <w:numId w:val="6"/>
        </w:numPr>
      </w:pPr>
      <w:r>
        <w:rPr>
          <w:b/>
          <w:bCs/>
        </w:rPr>
        <w:t xml:space="preserve">门控融合与动态通道掩码：</w:t>
      </w:r>
      <w:r>
        <w:t xml:space="preserve">通过门控融合对特征通道进行重加权，并利用动态通道掩码（Channel Mask）自动选择与目标营养信息最相关的通道，有效聚焦关键食材区域。</w:t>
      </w:r>
    </w:p>
    <w:p>
      <w:pPr>
        <w:pStyle w:val="ListParagraph"/>
        <w:numPr>
          <w:ilvl w:val="0"/>
          <w:numId w:val="6"/>
        </w:numPr>
      </w:pPr>
      <w:r>
        <w:rPr>
          <w:b/>
          <w:bCs/>
        </w:rPr>
        <w:t xml:space="preserve">全局预测：</w:t>
      </w:r>
      <w:r>
        <w:t xml:space="preserve">经全局融合、全局池化与全连接层，输出最终营养预测值。</w:t>
      </w:r>
    </w:p>
    <w:p>
      <w:r>
        <w:rPr>
          <w:b/>
          <w:bCs/>
          <w:color w:val="2E74B5"/>
          <w:sz w:val="26"/>
          <w:szCs w:val="26"/>
        </w:rPr>
        <w:t xml:space="preserve">4.4 损失函数设计</w:t>
      </w:r>
    </w:p>
    <w:p>
      <w:r>
        <w:t xml:space="preserve">本文采用动态任务加权损失（Dynamic Task-weighted Loss）进行营养估计，根据当前预测难度动态调整各营养成分任务的权重。评估指标采用百分比平均绝对误差（PMAE），衡量预测值与真实值的相对偏差。总损失函数为L_total = L_nutri + λ·L_align，联合优化营养预测与跨模态特征对齐，实现端到端训练。</w:t>
      </w:r>
    </w:p>
    <w:p>
      <w:pPr>
        <w:pStyle w:val="Heading1"/>
      </w:pPr>
      <w:bookmarkStart w:name="sec-experiments" w:id="1"/>
      <w:r>
        <w:t xml:space="preserve">五、实验结果与性能分析</w:t>
      </w:r>
      <w:bookmarkEnd w:id="1"/>
    </w:p>
    <w:p>
      <w:r>
        <w:rPr>
          <w:b/>
          <w:bCs/>
          <w:color w:val="2E74B5"/>
          <w:sz w:val="26"/>
          <w:szCs w:val="26"/>
        </w:rPr>
        <w:t xml:space="preserve">5.1 实验配置</w:t>
      </w:r>
    </w:p>
    <w:p>
      <w:r>
        <w:t xml:space="preserve">所有模型基于PyTorch实现，在NVIDIA A100 GPU上训练。优化器采用Adam（权重衰减1e-5），学习率调度采用余弦退火策略，训练150个epoch，批大小为8。OmniFood8K数据集按7:3划分训练/测试集，Nutrition5k按5:1划分。</w:t>
      </w:r>
    </w:p>
    <w:p>
      <w:r>
        <w:rPr>
          <w:b/>
          <w:bCs/>
          <w:color w:val="2E74B5"/>
          <w:sz w:val="26"/>
          <w:szCs w:val="26"/>
        </w:rPr>
        <w:t xml:space="preserve">5.2 OmniFood8K数据集上的性能对比</w:t>
      </w:r>
    </w:p>
    <w:p>
      <w:r>
        <w:t xml:space="preserve">在OmniFood8K数据集上，本文方法与多种主流RGB图像基线方法进行了对比（PMAE越低越好）：</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60"/>
          <w:bottom w:type="dxa" w:w="80"/>
          <w:right w:type="dxa" w:w="160"/>
        </w:tblCellMar>
      </w:tblPr>
      <w:tblGrid>
        <w:gridCol w:w="2600"/>
        <w:gridCol w:w="1152"/>
        <w:gridCol w:w="1152"/>
        <w:gridCol w:w="1152"/>
        <w:gridCol w:w="1152"/>
        <w:gridCol w:w="1152"/>
      </w:tblGrid>
      <w:tr>
        <w:trPr>
          <w:tblHeader/>
        </w:trPr>
        <w:tc>
          <w:tcPr>
            <w:tcW w:type="dxa" w:w="2600"/>
            <w:tcBorders>
              <w:top w:val="none" w:color="FFFFFF" w:sz="0"/>
              <w:left w:val="none" w:color="FFFFFF" w:sz="0"/>
              <w:bottom w:val="single" w:color="4F81BD" w:sz="6"/>
              <w:right w:val="none" w:color="FFFFFF" w:sz="0"/>
            </w:tcBorders>
          </w:tcPr>
          <w:p>
            <w:pPr>
              <w:jc w:val="center"/>
            </w:pPr>
            <w:r>
              <w:rPr>
                <w:b/>
                <w:bCs/>
                <w:sz w:val="20"/>
                <w:szCs w:val="20"/>
              </w:rPr>
              <w:t xml:space="preserve">方法</w:t>
            </w:r>
          </w:p>
        </w:tc>
        <w:tc>
          <w:tcPr>
            <w:tcW w:type="dxa" w:w="1152"/>
            <w:tcBorders>
              <w:top w:val="none" w:color="FFFFFF" w:sz="0"/>
              <w:left w:val="none" w:color="FFFFFF" w:sz="0"/>
              <w:bottom w:val="single" w:color="4F81BD" w:sz="6"/>
              <w:right w:val="none" w:color="FFFFFF" w:sz="0"/>
            </w:tcBorders>
          </w:tcPr>
          <w:p>
            <w:pPr>
              <w:jc w:val="center"/>
            </w:pPr>
            <w:r>
              <w:rPr>
                <w:b/>
                <w:bCs/>
                <w:sz w:val="20"/>
                <w:szCs w:val="20"/>
              </w:rPr>
              <w:t xml:space="preserve">热量</w:t>
            </w:r>
          </w:p>
        </w:tc>
        <w:tc>
          <w:tcPr>
            <w:tcW w:type="dxa" w:w="1152"/>
            <w:tcBorders>
              <w:top w:val="none" w:color="FFFFFF" w:sz="0"/>
              <w:left w:val="none" w:color="FFFFFF" w:sz="0"/>
              <w:bottom w:val="single" w:color="4F81BD" w:sz="6"/>
              <w:right w:val="none" w:color="FFFFFF" w:sz="0"/>
            </w:tcBorders>
          </w:tcPr>
          <w:p>
            <w:pPr>
              <w:jc w:val="center"/>
            </w:pPr>
            <w:r>
              <w:rPr>
                <w:b/>
                <w:bCs/>
                <w:sz w:val="20"/>
                <w:szCs w:val="20"/>
              </w:rPr>
              <w:t xml:space="preserve">质量</w:t>
            </w:r>
          </w:p>
        </w:tc>
        <w:tc>
          <w:tcPr>
            <w:tcW w:type="dxa" w:w="1152"/>
            <w:tcBorders>
              <w:top w:val="none" w:color="FFFFFF" w:sz="0"/>
              <w:left w:val="none" w:color="FFFFFF" w:sz="0"/>
              <w:bottom w:val="single" w:color="4F81BD" w:sz="6"/>
              <w:right w:val="none" w:color="FFFFFF" w:sz="0"/>
            </w:tcBorders>
          </w:tcPr>
          <w:p>
            <w:pPr>
              <w:jc w:val="center"/>
            </w:pPr>
            <w:r>
              <w:rPr>
                <w:b/>
                <w:bCs/>
                <w:sz w:val="20"/>
                <w:szCs w:val="20"/>
              </w:rPr>
              <w:t xml:space="preserve">脂肪</w:t>
            </w:r>
          </w:p>
        </w:tc>
        <w:tc>
          <w:tcPr>
            <w:tcW w:type="dxa" w:w="1152"/>
            <w:tcBorders>
              <w:top w:val="none" w:color="FFFFFF" w:sz="0"/>
              <w:left w:val="none" w:color="FFFFFF" w:sz="0"/>
              <w:bottom w:val="single" w:color="4F81BD" w:sz="6"/>
              <w:right w:val="none" w:color="FFFFFF" w:sz="0"/>
            </w:tcBorders>
          </w:tcPr>
          <w:p>
            <w:pPr>
              <w:jc w:val="center"/>
            </w:pPr>
            <w:r>
              <w:rPr>
                <w:b/>
                <w:bCs/>
                <w:sz w:val="20"/>
                <w:szCs w:val="20"/>
              </w:rPr>
              <w:t xml:space="preserve">碳水</w:t>
            </w:r>
          </w:p>
        </w:tc>
        <w:tc>
          <w:tcPr>
            <w:tcW w:type="dxa" w:w="1152"/>
            <w:tcBorders>
              <w:top w:val="none" w:color="FFFFFF" w:sz="0"/>
              <w:left w:val="none" w:color="FFFFFF" w:sz="0"/>
              <w:bottom w:val="single" w:color="4F81BD" w:sz="6"/>
              <w:right w:val="none" w:color="FFFFFF" w:sz="0"/>
            </w:tcBorders>
          </w:tcPr>
          <w:p>
            <w:pPr>
              <w:jc w:val="center"/>
            </w:pPr>
            <w:r>
              <w:rPr>
                <w:b/>
                <w:bCs/>
                <w:sz w:val="20"/>
                <w:szCs w:val="20"/>
              </w:rPr>
              <w:t xml:space="preserve">蛋白质</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ResNet-50</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10.2</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5.1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11.0</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11.1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14.8</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ResNet-101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10.9</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6.0</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12.2</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9.1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15.2</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ConvNeXt</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5.6</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10.8</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9.5</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13.3</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ConvNeXt V2</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15.5</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6.4</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11.3</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9.3</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12.6</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Swin-Transformer</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27.7</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15.1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29.6</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42.6</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41.0</w:t>
            </w:r>
          </w:p>
        </w:tc>
      </w:tr>
      <w:tr>
        <w:tc>
          <w:tcPr>
            <w:tcW w:type="dxa" w:w="2600"/>
            <w:tcBorders>
              <w:top w:val="none" w:color="FFFFFF" w:sz="0"/>
              <w:left w:val="none" w:color="FFFFFF" w:sz="0"/>
              <w:bottom w:val="none" w:color="FFFFFF" w:sz="0"/>
              <w:right w:val="none" w:color="FFFFFF" w:sz="0"/>
            </w:tcBorders>
            <w:shd w:fill="EBF3FB" w:val="clear"/>
          </w:tcPr>
          <w:p>
            <w:pPr>
              <w:jc w:val="left"/>
            </w:pPr>
            <w:r>
              <w:rPr>
                <w:b/>
                <w:bCs/>
                <w:color w:val="1F3864"/>
                <w:sz w:val="20"/>
                <w:szCs w:val="20"/>
              </w:rPr>
              <w:t xml:space="preserve">本文方法（Ours）</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8.8</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4.5</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9.5</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8.0</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12.6</w:t>
            </w:r>
          </w:p>
        </w:tc>
      </w:tr>
    </w:tbl>
    <w:p>
      <w:pPr>
        <w:spacing w:after="160" w:before="80"/>
      </w:pPr>
      <w:r>
        <w:rPr>
          <w:i/>
          <w:iCs/>
          <w:color w:val="666666"/>
          <w:sz w:val="20"/>
          <w:szCs w:val="20"/>
        </w:rPr>
        <w:t xml:space="preserve">表1：OmniFood8K数据集上各方法PMAE（%）对比，数值越低越好</w:t>
      </w:r>
    </w:p>
    <w:p>
      <w:r>
        <w:t xml:space="preserve">本文方法在热量（8.8%）、质量（4.5%）、脂肪（9.5%）、碳水化合物（8.0%）等关键指标上均取得最优性能，综合均值PMAE为8.6%，显著优于所有对比基线。</w:t>
      </w:r>
    </w:p>
    <w:p>
      <w:r>
        <w:rPr>
          <w:b/>
          <w:bCs/>
          <w:color w:val="2E74B5"/>
          <w:sz w:val="26"/>
          <w:szCs w:val="26"/>
        </w:rPr>
        <w:t xml:space="preserve">5.3 Nutrition5k数据集上的性能对比</w:t>
      </w:r>
    </w:p>
    <w:p>
      <w:r>
        <w:t xml:space="preserve">在Nutrition5k数据集上，本文方法不仅超越了所有仅使用RGB图像的方法，还在多项指标上优于直接利用RGB-D输入的方法（如Google-Nutrition-rgbd、FBFPN等），充分证明了所提框架的有效性与鲁棒性。本文方法的综合均值PMAE为16.5%，优于FBFPN（17.3%）、IMIR-Net（17.4%）等RGB-D方法。</w:t>
      </w:r>
    </w:p>
    <w:p>
      <w:r>
        <w:rPr>
          <w:b/>
          <w:bCs/>
          <w:color w:val="2E74B5"/>
          <w:sz w:val="26"/>
          <w:szCs w:val="26"/>
        </w:rPr>
        <w:t xml:space="preserve">5.4 消融实验分析</w:t>
      </w:r>
    </w:p>
    <w:p>
      <w:r>
        <w:t xml:space="preserve">消融实验在Nutrition5k数据集上逐步添加各模块，验证每个组件的贡献：</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60"/>
          <w:bottom w:type="dxa" w:w="80"/>
          <w:right w:type="dxa" w:w="160"/>
        </w:tblCellMar>
      </w:tblPr>
      <w:tblGrid>
        <w:gridCol w:w="1560"/>
        <w:gridCol w:w="1560"/>
        <w:gridCol w:w="1560"/>
        <w:gridCol w:w="1560"/>
        <w:gridCol w:w="1560"/>
      </w:tblGrid>
      <w:tr>
        <w:trPr>
          <w:tblHeader/>
        </w:trPr>
        <w:tc>
          <w:tcPr>
            <w:tcW w:type="dxa" w:w="1560"/>
            <w:tcBorders>
              <w:top w:val="none" w:color="FFFFFF" w:sz="0"/>
              <w:left w:val="none" w:color="FFFFFF" w:sz="0"/>
              <w:bottom w:val="single" w:color="4F81BD" w:sz="6"/>
              <w:right w:val="none" w:color="FFFFFF" w:sz="0"/>
            </w:tcBorders>
          </w:tcPr>
          <w:p>
            <w:pPr>
              <w:jc w:val="center"/>
            </w:pPr>
            <w:r>
              <w:rPr>
                <w:b/>
                <w:bCs/>
                <w:sz w:val="20"/>
                <w:szCs w:val="20"/>
              </w:rPr>
              <w:t xml:space="preserve">配置</w:t>
            </w:r>
          </w:p>
        </w:tc>
        <w:tc>
          <w:tcPr>
            <w:tcW w:type="dxa" w:w="1560"/>
            <w:tcBorders>
              <w:top w:val="none" w:color="FFFFFF" w:sz="0"/>
              <w:left w:val="none" w:color="FFFFFF" w:sz="0"/>
              <w:bottom w:val="single" w:color="4F81BD" w:sz="6"/>
              <w:right w:val="none" w:color="FFFFFF" w:sz="0"/>
            </w:tcBorders>
          </w:tcPr>
          <w:p>
            <w:pPr>
              <w:jc w:val="center"/>
            </w:pPr>
            <w:r>
              <w:rPr>
                <w:b/>
                <w:bCs/>
                <w:sz w:val="20"/>
                <w:szCs w:val="20"/>
              </w:rPr>
              <w:t xml:space="preserve">FAFM</w:t>
            </w:r>
          </w:p>
        </w:tc>
        <w:tc>
          <w:tcPr>
            <w:tcW w:type="dxa" w:w="1560"/>
            <w:tcBorders>
              <w:top w:val="none" w:color="FFFFFF" w:sz="0"/>
              <w:left w:val="none" w:color="FFFFFF" w:sz="0"/>
              <w:bottom w:val="single" w:color="4F81BD" w:sz="6"/>
              <w:right w:val="none" w:color="FFFFFF" w:sz="0"/>
            </w:tcBorders>
          </w:tcPr>
          <w:p>
            <w:pPr>
              <w:jc w:val="center"/>
            </w:pPr>
            <w:r>
              <w:rPr>
                <w:b/>
                <w:bCs/>
                <w:sz w:val="20"/>
                <w:szCs w:val="20"/>
              </w:rPr>
              <w:t xml:space="preserve">SSRA</w:t>
            </w:r>
          </w:p>
        </w:tc>
        <w:tc>
          <w:tcPr>
            <w:tcW w:type="dxa" w:w="1560"/>
            <w:tcBorders>
              <w:top w:val="none" w:color="FFFFFF" w:sz="0"/>
              <w:left w:val="none" w:color="FFFFFF" w:sz="0"/>
              <w:bottom w:val="single" w:color="4F81BD" w:sz="6"/>
              <w:right w:val="none" w:color="FFFFFF" w:sz="0"/>
            </w:tcBorders>
          </w:tcPr>
          <w:p>
            <w:pPr>
              <w:jc w:val="center"/>
            </w:pPr>
            <w:r>
              <w:rPr>
                <w:b/>
                <w:bCs/>
                <w:sz w:val="20"/>
                <w:szCs w:val="20"/>
              </w:rPr>
              <w:t xml:space="preserve">MPH</w:t>
            </w:r>
          </w:p>
        </w:tc>
        <w:tc>
          <w:tcPr>
            <w:tcW w:type="dxa" w:w="1560"/>
            <w:tcBorders>
              <w:top w:val="none" w:color="FFFFFF" w:sz="0"/>
              <w:left w:val="none" w:color="FFFFFF" w:sz="0"/>
              <w:bottom w:val="single" w:color="4F81BD" w:sz="6"/>
              <w:right w:val="none" w:color="FFFFFF" w:sz="0"/>
            </w:tcBorders>
          </w:tcPr>
          <w:p>
            <w:pPr>
              <w:jc w:val="center"/>
            </w:pPr>
            <w:r>
              <w:rPr>
                <w:b/>
                <w:bCs/>
                <w:sz w:val="20"/>
                <w:szCs w:val="20"/>
              </w:rPr>
              <w:t xml:space="preserve">均值PMAE(%)</w:t>
            </w:r>
          </w:p>
        </w:tc>
      </w:tr>
      <w:tr>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基线</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17.9</w:t>
            </w:r>
          </w:p>
        </w:tc>
      </w:tr>
      <w:tr>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基线+FAFM</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17.0</w:t>
            </w:r>
          </w:p>
        </w:tc>
      </w:tr>
      <w:tr>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基线+FAFM+SSRA</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16.8</w:t>
            </w:r>
          </w:p>
        </w:tc>
      </w:tr>
      <w:tr>
        <w:tc>
          <w:tcPr>
            <w:tcW w:type="dxa" w:w="156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完整模型</w:t>
            </w:r>
          </w:p>
        </w:tc>
        <w:tc>
          <w:tcPr>
            <w:tcW w:type="dxa" w:w="156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w:t>
            </w:r>
          </w:p>
        </w:tc>
        <w:tc>
          <w:tcPr>
            <w:tcW w:type="dxa" w:w="156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w:t>
            </w:r>
          </w:p>
        </w:tc>
        <w:tc>
          <w:tcPr>
            <w:tcW w:type="dxa" w:w="156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w:t>
            </w:r>
          </w:p>
        </w:tc>
        <w:tc>
          <w:tcPr>
            <w:tcW w:type="dxa" w:w="156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16.5</w:t>
            </w:r>
          </w:p>
        </w:tc>
      </w:tr>
    </w:tbl>
    <w:p>
      <w:pPr>
        <w:spacing w:after="160" w:before="80"/>
      </w:pPr>
      <w:r>
        <w:rPr>
          <w:i/>
          <w:iCs/>
          <w:color w:val="666666"/>
          <w:sz w:val="20"/>
          <w:szCs w:val="20"/>
        </w:rPr>
        <w:t xml:space="preserve">表2：消融实验结果，每个模块均对性能提升有显著贡献</w:t>
      </w:r>
    </w:p>
    <w:p>
      <w:r>
        <w:t xml:space="preserve">消融实验结果清晰表明，三个模块各自独立贡献了性能提升：FAFM贡献最大（均值PMAE从17.9%降至17.0%），SSRA次之（17.0%→16.8%），MPH进一步优化（16.8%→16.5%）。三者协同作用达到最优性能。</w:t>
      </w:r>
    </w:p>
    <w:p>
      <w:r>
        <w:rPr>
          <w:b/>
          <w:bCs/>
          <w:color w:val="2E74B5"/>
          <w:sz w:val="26"/>
          <w:szCs w:val="26"/>
        </w:rPr>
        <w:t xml:space="preserve">5.5 NutritionSynth-115K预训练效果</w:t>
      </w:r>
    </w:p>
    <w:p>
      <w:r>
        <w:t xml:space="preserve">在NutritionSynth-115K上预训练后再在OmniFood8K上微调，模型综合均值PMAE从8.6%进一步降至7.8%，各营养成分指标均有不同程度提升，验证了合成数据集在增强模型泛化能力方面的有效性。</w:t>
      </w:r>
    </w:p>
    <w:p>
      <w:pPr>
        <w:pStyle w:val="Heading1"/>
      </w:pPr>
      <w:bookmarkStart w:name="sec-innovation" w:id="1"/>
      <w:r>
        <w:t xml:space="preserve">六、创新点评价</w:t>
      </w:r>
      <w:bookmarkEnd w:id="1"/>
    </w:p>
    <w:p>
      <w:r>
        <w:rPr>
          <w:b/>
          <w:bCs/>
          <w:color w:val="2E74B5"/>
          <w:sz w:val="26"/>
          <w:szCs w:val="26"/>
        </w:rPr>
        <w:t xml:space="preserve">6.1 数据层面的创新</w:t>
      </w:r>
    </w:p>
    <w:p>
      <w:pPr>
        <w:pStyle w:val="ListParagraph"/>
        <w:numPr>
          <w:ilvl w:val="0"/>
          <w:numId w:val="7"/>
        </w:numPr>
      </w:pPr>
      <w:r>
        <w:rPr>
          <w:b/>
          <w:bCs/>
        </w:rPr>
        <w:t xml:space="preserve">填补中国菜系数据空白：</w:t>
      </w:r>
      <w:r>
        <w:t xml:space="preserve">OmniFood8K是首个专注于中国菜肴的大规模营养数据集，对于推动全球饮食多样性研究具有重要意义。</w:t>
      </w:r>
    </w:p>
    <w:p>
      <w:pPr>
        <w:pStyle w:val="ListParagraph"/>
        <w:numPr>
          <w:ilvl w:val="0"/>
          <w:numId w:val="7"/>
        </w:numPr>
      </w:pPr>
      <w:r>
        <w:rPr>
          <w:b/>
          <w:bCs/>
        </w:rPr>
        <w:t xml:space="preserve">全流程数据设计：</w:t>
      </w:r>
      <w:r>
        <w:t xml:space="preserve">从原料到成品的完整数据链条在现有数据集中尚属首创，为烹饪推理、食材识别等新兴任务提供了独特资源。</w:t>
      </w:r>
    </w:p>
    <w:p>
      <w:pPr>
        <w:pStyle w:val="ListParagraph"/>
        <w:numPr>
          <w:ilvl w:val="0"/>
          <w:numId w:val="7"/>
        </w:numPr>
      </w:pPr>
      <w:r>
        <w:rPr>
          <w:b/>
          <w:bCs/>
        </w:rPr>
        <w:t xml:space="preserve">合成数据增强策略：</w:t>
      </w:r>
      <w:r>
        <w:t xml:space="preserve">NutritionSynth-115K的构建方法（基于前景分割与比例重组）为食物营养领域的数据增强提供了新思路，且能保证营养标签的精确性。</w:t>
      </w:r>
    </w:p>
    <w:p>
      <w:r>
        <w:rPr>
          <w:b/>
          <w:bCs/>
          <w:color w:val="2E74B5"/>
          <w:sz w:val="26"/>
          <w:szCs w:val="26"/>
        </w:rPr>
        <w:t xml:space="preserve">6.2 算法层面的创新</w:t>
      </w:r>
    </w:p>
    <w:p>
      <w:pPr>
        <w:pStyle w:val="ListParagraph"/>
        <w:numPr>
          <w:ilvl w:val="0"/>
          <w:numId w:val="8"/>
        </w:numPr>
      </w:pPr>
      <w:r>
        <w:rPr>
          <w:b/>
          <w:bCs/>
        </w:rPr>
        <w:t xml:space="preserve">频率域多模态融合（FAFM）：</w:t>
      </w:r>
      <w:r>
        <w:t xml:space="preserve">将傅里叶变换引入RGB-深度特征融合是本文最具原创性的技术贡献。通过在频率域分离低频（全局结构）与高频（局部细节）分量分别融合，避免了空间域直接融合时的特征干扰问题，理论基础扎实，实验效果显著。</w:t>
      </w:r>
    </w:p>
    <w:p>
      <w:pPr>
        <w:pStyle w:val="ListParagraph"/>
        <w:numPr>
          <w:ilvl w:val="0"/>
          <w:numId w:val="8"/>
        </w:numPr>
      </w:pPr>
      <w:r>
        <w:rPr>
          <w:b/>
          <w:bCs/>
        </w:rPr>
        <w:t xml:space="preserve">轻量化深度精化（SSRA）：</w:t>
      </w:r>
      <w:r>
        <w:t xml:space="preserve">以极低的参数代价实现了单目深度估计的全局与局部双重校正，有效弥补了单目深度估计的固有缺陷，是工程实用性与学术创新性的良好结合。</w:t>
      </w:r>
    </w:p>
    <w:p>
      <w:pPr>
        <w:pStyle w:val="ListParagraph"/>
        <w:numPr>
          <w:ilvl w:val="0"/>
          <w:numId w:val="8"/>
        </w:numPr>
      </w:pPr>
      <w:r>
        <w:rPr>
          <w:b/>
          <w:bCs/>
        </w:rPr>
        <w:t xml:space="preserve">动态通道选择（MPH）：</w:t>
      </w:r>
      <w:r>
        <w:t xml:space="preserve">通过动态通道掩码自适应聚焦关键食材区域，相比固定注意力机制具有更强的灵活性，对于食材种类多样的中国菜肴尤为适用。</w:t>
      </w:r>
    </w:p>
    <w:p>
      <w:pPr>
        <w:pStyle w:val="ListParagraph"/>
        <w:numPr>
          <w:ilvl w:val="0"/>
          <w:numId w:val="8"/>
        </w:numPr>
      </w:pPr>
      <w:r>
        <w:rPr>
          <w:b/>
          <w:bCs/>
        </w:rPr>
        <w:t xml:space="preserve">无深度传感器依赖：</w:t>
      </w:r>
      <w:r>
        <w:t xml:space="preserve">整个框架仅需普通RGB相机，极大拓展了实际应用场景，是从实验室走向真实世界的关键一步。</w:t>
      </w:r>
    </w:p>
    <w:p>
      <w:pPr>
        <w:pStyle w:val="Heading1"/>
      </w:pPr>
      <w:bookmarkStart w:name="sec-limitations" w:id="1"/>
      <w:r>
        <w:t xml:space="preserve">七、局限性与未来方向</w:t>
      </w:r>
      <w:bookmarkEnd w:id="1"/>
    </w:p>
    <w:p>
      <w:r>
        <w:rPr>
          <w:b/>
          <w:bCs/>
          <w:color w:val="2E74B5"/>
          <w:sz w:val="26"/>
          <w:szCs w:val="26"/>
        </w:rPr>
        <w:t xml:space="preserve">7.1 现有局限性</w:t>
      </w:r>
    </w:p>
    <w:p>
      <w:pPr>
        <w:pStyle w:val="ListParagraph"/>
        <w:numPr>
          <w:ilvl w:val="0"/>
          <w:numId w:val="2"/>
        </w:numPr>
      </w:pPr>
      <w:r>
        <w:rPr>
          <w:b/>
          <w:bCs/>
        </w:rPr>
        <w:t xml:space="preserve">地域覆盖局限：</w:t>
      </w:r>
      <w:r>
        <w:t xml:space="preserve">尽管OmniFood8K专注于中国菜肴，但对其他亚洲菜系（如日本料理、印度菜）及西方菜系的覆盖仍然有限，全球化应用场景下的泛化能力有待验证。</w:t>
      </w:r>
    </w:p>
    <w:p>
      <w:pPr>
        <w:pStyle w:val="ListParagraph"/>
        <w:numPr>
          <w:ilvl w:val="0"/>
          <w:numId w:val="2"/>
        </w:numPr>
      </w:pPr>
      <w:r>
        <w:rPr>
          <w:b/>
          <w:bCs/>
        </w:rPr>
        <w:t xml:space="preserve">单目深度估计的固有误差：</w:t>
      </w:r>
      <w:r>
        <w:t xml:space="preserve">尽管SSRA模块对深度图进行了精化，但单目深度估计本身的精度上限仍低于真实深度传感器，在极端光照或遮挡场景下可能影响营养估计精度。</w:t>
      </w:r>
    </w:p>
    <w:p>
      <w:pPr>
        <w:pStyle w:val="ListParagraph"/>
        <w:numPr>
          <w:ilvl w:val="0"/>
          <w:numId w:val="2"/>
        </w:numPr>
      </w:pPr>
      <w:r>
        <w:rPr>
          <w:b/>
          <w:bCs/>
        </w:rPr>
        <w:t xml:space="preserve">混合菜肴的挑战：</w:t>
      </w:r>
      <w:r>
        <w:t xml:space="preserve">对于食材高度混合、难以视觉区分的菜肴（如炒饭、汤类），模型的食材识别与营养估计精度可能受到较大影响。</w:t>
      </w:r>
    </w:p>
    <w:p>
      <w:pPr>
        <w:pStyle w:val="ListParagraph"/>
        <w:numPr>
          <w:ilvl w:val="0"/>
          <w:numId w:val="2"/>
        </w:numPr>
      </w:pPr>
      <w:r>
        <w:rPr>
          <w:b/>
          <w:bCs/>
        </w:rPr>
        <w:t xml:space="preserve">计算资源需求：</w:t>
      </w:r>
      <w:r>
        <w:t xml:space="preserve">框架涉及深度估计、频率变换、多尺度特征提取等多个模块，在移动端或边缘设备上的实时推理效率有待优化。</w:t>
      </w:r>
    </w:p>
    <w:p>
      <w:r>
        <w:rPr>
          <w:b/>
          <w:bCs/>
          <w:color w:val="2E74B5"/>
          <w:sz w:val="26"/>
          <w:szCs w:val="26"/>
        </w:rPr>
        <w:t xml:space="preserve">7.2 未来研究方向</w:t>
      </w:r>
    </w:p>
    <w:p>
      <w:pPr>
        <w:pStyle w:val="ListParagraph"/>
        <w:numPr>
          <w:ilvl w:val="0"/>
          <w:numId w:val="3"/>
        </w:numPr>
      </w:pPr>
      <w:r>
        <w:t xml:space="preserve">扩展数据集覆盖范围，纳入更多全球菜系，构建真正意义上的全球化食物营养数据集。</w:t>
      </w:r>
    </w:p>
    <w:p>
      <w:pPr>
        <w:pStyle w:val="ListParagraph"/>
        <w:numPr>
          <w:ilvl w:val="0"/>
          <w:numId w:val="3"/>
        </w:numPr>
      </w:pPr>
      <w:r>
        <w:t xml:space="preserve">探索大语言模型（LLM）与视觉语言模型（VLM）在食物营养估计中的应用，利用其强大的语义理解能力提升复杂菜肴的识别精度。</w:t>
      </w:r>
    </w:p>
    <w:p>
      <w:pPr>
        <w:pStyle w:val="ListParagraph"/>
        <w:numPr>
          <w:ilvl w:val="0"/>
          <w:numId w:val="3"/>
        </w:numPr>
      </w:pPr>
      <w:r>
        <w:t xml:space="preserve">研究模型轻量化方案，推动营养估计技术在智能手机等移动设备上的实时部署。</w:t>
      </w:r>
    </w:p>
    <w:p>
      <w:pPr>
        <w:pStyle w:val="ListParagraph"/>
        <w:numPr>
          <w:ilvl w:val="0"/>
          <w:numId w:val="3"/>
        </w:numPr>
      </w:pPr>
      <w:r>
        <w:t xml:space="preserve">结合个性化营养需求（如糖尿病患者的碳水控制），开发面向特定健康目标的智能饮食管理系统。</w:t>
      </w:r>
    </w:p>
    <w:p>
      <w:pPr>
        <w:pStyle w:val="Heading1"/>
      </w:pPr>
      <w:bookmarkStart w:name="sec-conclusion" w:id="1"/>
      <w:r>
        <w:t xml:space="preserve">八、综合评价</w:t>
      </w:r>
      <w:bookmarkEnd w:id="1"/>
    </w:p>
    <w:p>
      <w:r>
        <w:t xml:space="preserve">本文是一篇质量较高的计算机视觉与食物计算领域研究论文，在数据集构建与算法设计两个维度均做出了实质性贡献。</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100"/>
          <w:left w:type="dxa" w:w="180"/>
          <w:bottom w:type="dxa" w:w="100"/>
          <w:right w:type="dxa" w:w="180"/>
        </w:tblCellMar>
      </w:tblPr>
      <w:tblGrid>
        <w:gridCol w:w="2000"/>
        <w:gridCol w:w="7360"/>
      </w:tblGrid>
      <w:tr>
        <w:trPr>
          <w:tblHeader/>
        </w:trPr>
        <w:tc>
          <w:tcPr>
            <w:tcW w:type="dxa" w:w="2000"/>
            <w:tcBorders>
              <w:top w:val="none" w:color="FFFFFF" w:sz="0"/>
              <w:left w:val="none" w:color="FFFFFF" w:sz="0"/>
              <w:bottom w:val="single" w:color="4F81BD" w:sz="6"/>
              <w:right w:val="none" w:color="FFFFFF" w:sz="0"/>
            </w:tcBorders>
          </w:tcPr>
          <w:p>
            <w:pPr>
              <w:jc w:val="center"/>
            </w:pPr>
            <w:r>
              <w:rPr>
                <w:b/>
                <w:bCs/>
                <w:sz w:val="22"/>
                <w:szCs w:val="22"/>
              </w:rPr>
              <w:t xml:space="preserve">评价维度</w:t>
            </w:r>
          </w:p>
        </w:tc>
        <w:tc>
          <w:tcPr>
            <w:tcW w:type="dxa" w:w="7360"/>
            <w:tcBorders>
              <w:top w:val="none" w:color="FFFFFF" w:sz="0"/>
              <w:left w:val="none" w:color="FFFFFF" w:sz="0"/>
              <w:bottom w:val="single" w:color="4F81BD" w:sz="6"/>
              <w:right w:val="none" w:color="FFFFFF" w:sz="0"/>
            </w:tcBorders>
          </w:tcPr>
          <w:p>
            <w:pPr>
              <w:jc w:val="center"/>
            </w:pPr>
            <w:r>
              <w:rPr>
                <w:b/>
                <w:bCs/>
                <w:sz w:val="22"/>
                <w:szCs w:val="22"/>
              </w:rPr>
              <w:t xml:space="preserve">评价内容</w:t>
            </w:r>
          </w:p>
        </w:tc>
      </w:tr>
      <w:tr>
        <w:tc>
          <w:tcPr>
            <w:tcW w:type="dxa" w:w="2000"/>
            <w:tcBorders>
              <w:top w:val="none" w:color="FFFFFF" w:sz="0"/>
              <w:left w:val="none" w:color="FFFFFF" w:sz="0"/>
              <w:bottom w:val="none" w:color="FFFFFF" w:sz="0"/>
              <w:right w:val="none" w:color="FFFFFF" w:sz="0"/>
            </w:tcBorders>
          </w:tcPr>
          <w:p>
            <w:r>
              <w:rPr>
                <w:b/>
                <w:bCs/>
              </w:rPr>
              <w:t xml:space="preserve">问题定义</w:t>
            </w:r>
          </w:p>
        </w:tc>
        <w:tc>
          <w:tcPr>
            <w:tcW w:type="dxa" w:w="7360"/>
            <w:tcBorders>
              <w:top w:val="none" w:color="FFFFFF" w:sz="0"/>
              <w:left w:val="none" w:color="FFFFFF" w:sz="0"/>
              <w:bottom w:val="none" w:color="FFFFFF" w:sz="0"/>
              <w:right w:val="none" w:color="FFFFFF" w:sz="0"/>
            </w:tcBorders>
          </w:tcPr>
          <w:p>
            <w:r>
              <w:t xml:space="preserve">清晰识别了领域内两大核心瓶颈（数据偏向与传感器依赖），研究动机充分，问题定义精准。</w:t>
            </w:r>
          </w:p>
        </w:tc>
      </w:tr>
      <w:tr>
        <w:tc>
          <w:tcPr>
            <w:tcW w:type="dxa" w:w="2000"/>
            <w:tcBorders>
              <w:top w:val="none" w:color="FFFFFF" w:sz="0"/>
              <w:left w:val="none" w:color="FFFFFF" w:sz="0"/>
              <w:bottom w:val="none" w:color="FFFFFF" w:sz="0"/>
              <w:right w:val="none" w:color="FFFFFF" w:sz="0"/>
            </w:tcBorders>
          </w:tcPr>
          <w:p>
            <w:r>
              <w:rPr>
                <w:b/>
                <w:bCs/>
              </w:rPr>
              <w:t xml:space="preserve">数据贡献</w:t>
            </w:r>
          </w:p>
        </w:tc>
        <w:tc>
          <w:tcPr>
            <w:tcW w:type="dxa" w:w="7360"/>
            <w:tcBorders>
              <w:top w:val="none" w:color="FFFFFF" w:sz="0"/>
              <w:left w:val="none" w:color="FFFFFF" w:sz="0"/>
              <w:bottom w:val="none" w:color="FFFFFF" w:sz="0"/>
              <w:right w:val="none" w:color="FFFFFF" w:sz="0"/>
            </w:tcBorders>
          </w:tcPr>
          <w:p>
            <w:r>
              <w:t xml:space="preserve">OmniFood8K填补了中国菜系营养数据的空白，全流程设计具有独特学术价值；NutritionSynth-115K的合成策略实用且有效。</w:t>
            </w:r>
          </w:p>
        </w:tc>
      </w:tr>
      <w:tr>
        <w:tc>
          <w:tcPr>
            <w:tcW w:type="dxa" w:w="2000"/>
            <w:tcBorders>
              <w:top w:val="none" w:color="FFFFFF" w:sz="0"/>
              <w:left w:val="none" w:color="FFFFFF" w:sz="0"/>
              <w:bottom w:val="none" w:color="FFFFFF" w:sz="0"/>
              <w:right w:val="none" w:color="FFFFFF" w:sz="0"/>
            </w:tcBorders>
          </w:tcPr>
          <w:p>
            <w:r>
              <w:rPr>
                <w:b/>
                <w:bCs/>
              </w:rPr>
              <w:t xml:space="preserve">技术创新</w:t>
            </w:r>
          </w:p>
        </w:tc>
        <w:tc>
          <w:tcPr>
            <w:tcW w:type="dxa" w:w="7360"/>
            <w:tcBorders>
              <w:top w:val="none" w:color="FFFFFF" w:sz="0"/>
              <w:left w:val="none" w:color="FFFFFF" w:sz="0"/>
              <w:bottom w:val="none" w:color="FFFFFF" w:sz="0"/>
              <w:right w:val="none" w:color="FFFFFF" w:sz="0"/>
            </w:tcBorders>
          </w:tcPr>
          <w:p>
            <w:r>
              <w:t xml:space="preserve">FAFM的频率域融合思路新颖，SSRA的双级校正设计合理，MPH的动态通道选择具有实际意义。三者协同形成完整的技术体系。</w:t>
            </w:r>
          </w:p>
        </w:tc>
      </w:tr>
      <w:tr>
        <w:tc>
          <w:tcPr>
            <w:tcW w:type="dxa" w:w="2000"/>
            <w:tcBorders>
              <w:top w:val="none" w:color="FFFFFF" w:sz="0"/>
              <w:left w:val="none" w:color="FFFFFF" w:sz="0"/>
              <w:bottom w:val="none" w:color="FFFFFF" w:sz="0"/>
              <w:right w:val="none" w:color="FFFFFF" w:sz="0"/>
            </w:tcBorders>
          </w:tcPr>
          <w:p>
            <w:r>
              <w:rPr>
                <w:b/>
                <w:bCs/>
              </w:rPr>
              <w:t xml:space="preserve">实验验证</w:t>
            </w:r>
          </w:p>
        </w:tc>
        <w:tc>
          <w:tcPr>
            <w:tcW w:type="dxa" w:w="7360"/>
            <w:tcBorders>
              <w:top w:val="none" w:color="FFFFFF" w:sz="0"/>
              <w:left w:val="none" w:color="FFFFFF" w:sz="0"/>
              <w:bottom w:val="none" w:color="FFFFFF" w:sz="0"/>
              <w:right w:val="none" w:color="FFFFFF" w:sz="0"/>
            </w:tcBorders>
          </w:tcPr>
          <w:p>
            <w:r>
              <w:t xml:space="preserve">在两个数据集上进行了全面对比实验，消融研究设计合理，结果具有说服力。与RGB-D方法的对比尤为亮眼。</w:t>
            </w:r>
          </w:p>
        </w:tc>
      </w:tr>
      <w:tr>
        <w:tc>
          <w:tcPr>
            <w:tcW w:type="dxa" w:w="2000"/>
            <w:tcBorders>
              <w:top w:val="none" w:color="FFFFFF" w:sz="0"/>
              <w:left w:val="none" w:color="FFFFFF" w:sz="0"/>
              <w:bottom w:val="none" w:color="FFFFFF" w:sz="0"/>
              <w:right w:val="none" w:color="FFFFFF" w:sz="0"/>
            </w:tcBorders>
          </w:tcPr>
          <w:p>
            <w:r>
              <w:rPr>
                <w:b/>
                <w:bCs/>
              </w:rPr>
              <w:t xml:space="preserve">实用价值</w:t>
            </w:r>
          </w:p>
        </w:tc>
        <w:tc>
          <w:tcPr>
            <w:tcW w:type="dxa" w:w="7360"/>
            <w:tcBorders>
              <w:top w:val="none" w:color="FFFFFF" w:sz="0"/>
              <w:left w:val="none" w:color="FFFFFF" w:sz="0"/>
              <w:bottom w:val="none" w:color="FFFFFF" w:sz="0"/>
              <w:right w:val="none" w:color="FFFFFF" w:sz="0"/>
            </w:tcBorders>
          </w:tcPr>
          <w:p>
            <w:r>
              <w:t xml:space="preserve">仅需普通RGB相机的设计极大降低了应用门槛，具有较强的产品化潜力，可直接应用于智能手机饮食记录应用。</w:t>
            </w:r>
          </w:p>
        </w:tc>
      </w:tr>
      <w:tr>
        <w:tc>
          <w:tcPr>
            <w:tcW w:type="dxa" w:w="2000"/>
            <w:tcBorders>
              <w:top w:val="none" w:color="FFFFFF" w:sz="0"/>
              <w:left w:val="none" w:color="FFFFFF" w:sz="0"/>
              <w:bottom w:val="none" w:color="FFFFFF" w:sz="0"/>
              <w:right w:val="none" w:color="FFFFFF" w:sz="0"/>
            </w:tcBorders>
          </w:tcPr>
          <w:p>
            <w:r>
              <w:rPr>
                <w:b/>
                <w:bCs/>
              </w:rPr>
              <w:t xml:space="preserve">不足之处</w:t>
            </w:r>
          </w:p>
        </w:tc>
        <w:tc>
          <w:tcPr>
            <w:tcW w:type="dxa" w:w="7360"/>
            <w:tcBorders>
              <w:top w:val="none" w:color="FFFFFF" w:sz="0"/>
              <w:left w:val="none" w:color="FFFFFF" w:sz="0"/>
              <w:bottom w:val="none" w:color="FFFFFF" w:sz="0"/>
              <w:right w:val="none" w:color="FFFFFF" w:sz="0"/>
            </w:tcBorders>
          </w:tcPr>
          <w:p>
            <w:r>
              <w:t xml:space="preserve">论文对FAFM中频率阈值κ的选取缺乏充分的敏感性分析；对混合菜肴场景的讨论较为有限；模型推理效率未作评估。</w:t>
            </w:r>
          </w:p>
        </w:tc>
      </w:tr>
    </w:tbl>
    <w:p>
      <w:pPr>
        <w:spacing w:after="120" w:before="240"/>
      </w:pPr>
      <w:r>
        <w:t xml:space="preserve">总体而言，本文在食物营养估计这一具有重要现实意义的研究方向上取得了显著进展。OmniFood8K数据集的发布将为后续研究提供宝贵资源，所提出的端到端框架为单图像营养估计树立了新的性能基准。该工作对于推动智能健康管理、个性化营养监测等应用具有重要的学术与产业价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480"/>
      </w:pPr>
    </w:lvl>
  </w:abstractNum>
  <w:abstractNum w:abstractNumId="4" w15:restartNumberingAfterBreak="0">
    <w:multiLevelType w:val="hybridMultilevel"/>
    <w:lvl w:ilvl="0" w15:tentative="1">
      <w:start w:val="1"/>
      <w:numFmt w:val="bullet"/>
      <w:lvlText w:val="•"/>
      <w:lvlJc w:val="left"/>
      <w:pPr>
        <w:ind w:left="720" w:hanging="480"/>
      </w:pPr>
    </w:lvl>
  </w:abstractNum>
  <w:abstractNum w:abstractNumId="5" w15:restartNumberingAfterBreak="0">
    <w:multiLevelType w:val="hybridMultilevel"/>
    <w:lvl w:ilvl="0" w15:tentative="1">
      <w:start w:val="1"/>
      <w:numFmt w:val="bullet"/>
      <w:lvlText w:val="•"/>
      <w:lvlJc w:val="left"/>
      <w:pPr>
        <w:ind w:left="720" w:hanging="480"/>
      </w:pPr>
    </w:lvl>
  </w:abstractNum>
  <w:abstractNum w:abstractNumId="6" w15:restartNumberingAfterBreak="0">
    <w:multiLevelType w:val="hybridMultilevel"/>
    <w:lvl w:ilvl="0" w15:tentative="1">
      <w:start w:val="1"/>
      <w:numFmt w:val="bullet"/>
      <w:lvlText w:val="•"/>
      <w:lvlJc w:val="left"/>
      <w:pPr>
        <w:ind w:left="720" w:hanging="480"/>
      </w:pPr>
    </w:lvl>
  </w:abstractNum>
  <w:abstractNum w:abstractNumId="7" w15:restartNumberingAfterBreak="0">
    <w:multiLevelType w:val="hybridMultilevel"/>
    <w:lvl w:ilvl="0" w15:tentative="1">
      <w:start w:val="1"/>
      <w:numFmt w:val="bullet"/>
      <w:lvlText w:val="•"/>
      <w:lvlJc w:val="left"/>
      <w:pPr>
        <w:ind w:left="720" w:hanging="480"/>
      </w:pPr>
    </w:lvl>
  </w:abstractNum>
  <w:abstractNum w:abstractNumId="8"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pPr>
        <w:spacing w:after="160" w:before="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480"/>
      <w:jc w:val="center"/>
    </w:pPr>
    <w:rPr>
      <w:rFonts w:ascii="Calibri(Headings)" w:cs="Calibri(Headings)" w:eastAsia="Calibri(Headings)" w:hAnsi="Calibri(Headings)"/>
      <w:b/>
      <w:bCs/>
      <w:color w:val="1F3864"/>
      <w:sz w:val="40"/>
      <w:szCs w:val="40"/>
    </w:rPr>
  </w:style>
  <w:style w:type="paragraph" w:styleId="Heading1">
    <w:name w:val="Heading 1"/>
    <w:basedOn w:val="Normal"/>
    <w:next w:val="Normal"/>
    <w:qFormat/>
    <w:pPr>
      <w:spacing w:after="120" w:before="480"/>
    </w:pPr>
    <w:rPr>
      <w:rFonts w:ascii="Calibri(Headings)" w:cs="Calibri(Headings)" w:eastAsia="Calibri(Headings)" w:hAnsi="Calibri(Headings)"/>
      <w:b/>
      <w:bCs/>
      <w:color w:val="2E74B5"/>
      <w:sz w:val="32"/>
      <w:szCs w:val="32"/>
    </w:rPr>
  </w:style>
  <w:style w:type="paragraph" w:styleId="Heading2">
    <w:name w:val="Heading 2"/>
    <w:basedOn w:val="Normal"/>
    <w:next w:val="Normal"/>
    <w:qFormat/>
    <w:pPr>
      <w:spacing w:after="80" w:before="320"/>
    </w:pPr>
    <w:rPr>
      <w:rFonts w:ascii="Calibri(Headings)" w:cs="Calibri(Headings)" w:eastAsia="Calibri(Headings)" w:hAnsi="Calibri(Headings)"/>
      <w:b/>
      <w:bCs/>
      <w:color w:val="2E74B5"/>
      <w:sz w:val="28"/>
      <w:szCs w:val="28"/>
    </w:rPr>
  </w:style>
  <w:style w:type="paragraph" w:styleId="Heading3">
    <w:name w:val="Heading 3"/>
    <w:basedOn w:val="Normal"/>
    <w:next w:val="Normal"/>
    <w:qFormat/>
    <w:pPr>
      <w:spacing w:after="60" w:before="240"/>
    </w:pPr>
    <w:rPr>
      <w:rFonts w:ascii="Calibri(Headings)" w:cs="Calibri(Headings)" w:eastAsia="Calibri(Headings)" w:hAnsi="Calibri(Headings)"/>
      <w:b/>
      <w:bCs/>
      <w:color w:val="404040"/>
      <w:sz w:val="26"/>
      <w:szCs w:val="26"/>
    </w:rPr>
  </w:style>
  <w:style w:type="paragraph" w:styleId="CodeBlock">
    <w:name w:val="Code Block"/>
    <w:basedOn w:val="Normal"/>
    <w:pPr>
      <w:spacing w:after="120" w:before="120"/>
    </w:pPr>
    <w:rPr>
      <w:rFonts w:ascii="Consolas" w:cs="Consolas" w:eastAsia="Consolas" w:hAnsi="Consolas"/>
      <w:color w:val="2F4F4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2026-06-04T08:43:41.089Z</dcterms:created>
  <dcterms:modified xsi:type="dcterms:W3CDTF">2026-06-04T08:43:41.089Z</dcterms:modified>
</cp:coreProperties>
</file>

<file path=docProps/custom.xml><?xml version="1.0" encoding="utf-8"?>
<Properties xmlns="http://schemas.openxmlformats.org/officeDocument/2006/custom-properties" xmlns:vt="http://schemas.openxmlformats.org/officeDocument/2006/docPropsVTypes"/>
</file>