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C6691">
      <w:pPr>
        <w:pStyle w:val="6"/>
        <w:widowControl/>
        <w:snapToGrid w:val="0"/>
        <w:spacing w:beforeAutospacing="0" w:after="156" w:afterLines="50" w:afterAutospacing="0" w:line="460" w:lineRule="exact"/>
        <w:jc w:val="center"/>
        <w:rPr>
          <w:rFonts w:hint="eastAsia" w:ascii="黑体" w:hAnsi="黑体" w:eastAsia="黑体" w:cstheme="minorEastAsia"/>
          <w:b/>
          <w:bCs/>
          <w:sz w:val="44"/>
          <w:szCs w:val="44"/>
        </w:rPr>
      </w:pPr>
      <w:r>
        <w:rPr>
          <w:rFonts w:hint="eastAsia" w:ascii="黑体" w:hAnsi="黑体" w:eastAsia="黑体" w:cstheme="minorEastAsia"/>
          <w:b/>
          <w:bCs/>
          <w:sz w:val="44"/>
          <w:szCs w:val="44"/>
        </w:rPr>
        <w:t>华智未来（重庆）科技有限公司</w:t>
      </w:r>
    </w:p>
    <w:p w14:paraId="1A401697">
      <w:pPr>
        <w:pStyle w:val="6"/>
        <w:widowControl/>
        <w:snapToGrid w:val="0"/>
        <w:spacing w:beforeAutospacing="0" w:after="156" w:afterLines="50" w:afterAutospacing="0" w:line="460" w:lineRule="exact"/>
        <w:jc w:val="center"/>
        <w:rPr>
          <w:rFonts w:hint="eastAsia" w:ascii="黑体" w:hAnsi="黑体" w:eastAsia="黑体" w:cstheme="minorEastAsia"/>
          <w:b/>
          <w:bCs/>
          <w:sz w:val="44"/>
          <w:szCs w:val="44"/>
        </w:rPr>
      </w:pPr>
      <w:r>
        <w:rPr>
          <w:rFonts w:hint="eastAsia" w:ascii="黑体" w:hAnsi="黑体" w:eastAsia="黑体" w:cstheme="minorEastAsia"/>
          <w:b/>
          <w:bCs/>
          <w:sz w:val="44"/>
          <w:szCs w:val="44"/>
        </w:rPr>
        <w:t>简介</w:t>
      </w:r>
    </w:p>
    <w:p w14:paraId="51DA8DF6">
      <w:pPr>
        <w:pStyle w:val="6"/>
        <w:widowControl/>
        <w:snapToGrid w:val="0"/>
        <w:spacing w:beforeAutospacing="0" w:after="156" w:afterLines="50" w:afterAutospacing="0" w:line="460" w:lineRule="exact"/>
        <w:rPr>
          <w:rFonts w:hint="eastAsia" w:ascii="仿宋" w:hAnsi="仿宋" w:eastAsia="仿宋" w:cstheme="minorEastAsia"/>
          <w:b/>
          <w:bCs/>
        </w:rPr>
      </w:pPr>
      <w:r>
        <w:rPr>
          <w:rFonts w:hint="eastAsia" w:ascii="仿宋" w:hAnsi="仿宋" w:eastAsia="仿宋" w:cstheme="minorEastAsia"/>
          <w:b/>
          <w:bCs/>
        </w:rPr>
        <w:t>一、</w:t>
      </w:r>
      <w:r>
        <w:rPr>
          <w:rFonts w:hint="eastAsia" w:ascii="仿宋" w:hAnsi="仿宋" w:eastAsia="仿宋" w:cstheme="minorEastAsia"/>
          <w:b/>
          <w:bCs/>
          <w:lang w:val="en-US" w:eastAsia="zh-CN"/>
        </w:rPr>
        <w:t>华智未来的</w:t>
      </w:r>
      <w:r>
        <w:rPr>
          <w:rFonts w:hint="eastAsia" w:ascii="仿宋" w:hAnsi="仿宋" w:eastAsia="仿宋" w:cstheme="minorEastAsia"/>
          <w:b/>
          <w:bCs/>
        </w:rPr>
        <w:t>企业介绍</w:t>
      </w:r>
    </w:p>
    <w:p w14:paraId="16244FB4">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华智未来（重庆）科技有限公司始终致力于技术创新与场景落地，经过多年沉淀和不断突破，从传统的“算力提供商”成功转型为全链路数字化系统集成商。公司聚焦整合高性能算力、数据与算法资源，通过打通从基础算力到应用层场景的全链路链条，构建起覆盖政府、企业及消费者等多维场景的智慧全生态系统，为客户提供端到端的定制化解决方案，满足公安、消防、农林水环境等G端安全治理，大型企业垂直模型及数据资产服务的B端需求，以及数字人等新型C端数字体验，全面推动数字化转型与智能应用落地。</w:t>
      </w:r>
    </w:p>
    <w:p w14:paraId="4FECA558">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自2017年成立以来，华智未来经历了从原始算力资源整合到全场景智能服务的跨越式发展。公司在人工智能、大数据和算力技术领域积累了卓越的技术沉淀和研发实力，通过不断的技术迭代与创新，已成功打造多个成熟的数字化解决方案，并在智能制造、智慧安防、智慧文旅、智慧农业等多个领域实现了落地应用。</w:t>
      </w:r>
    </w:p>
    <w:p w14:paraId="49FB7AF6">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愿景</w:t>
      </w:r>
      <w:r>
        <w:rPr>
          <w:rFonts w:hint="eastAsia" w:ascii="仿宋" w:hAnsi="仿宋" w:eastAsia="仿宋" w:cstheme="minorEastAsia"/>
        </w:rPr>
        <w:t>：打破技术与数据的壁垒，构建一个跨界联动、资源共享的智慧生态系统，使政府治理、企业转型及消费者数字体验真正实现智能化、便捷化和普惠化。</w:t>
      </w:r>
    </w:p>
    <w:p w14:paraId="606D2BCD">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使命</w:t>
      </w:r>
      <w:r>
        <w:rPr>
          <w:rFonts w:hint="eastAsia" w:ascii="仿宋" w:hAnsi="仿宋" w:eastAsia="仿宋" w:cstheme="minorEastAsia"/>
        </w:rPr>
        <w:t>：以全链路数字化系统集成为核心，整合高性能算力、海量数据与先进算法，为各行业提供一站式智能解决方案。</w:t>
      </w:r>
    </w:p>
    <w:p w14:paraId="57363FB2">
      <w:pPr>
        <w:pStyle w:val="2"/>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二、</w:t>
      </w:r>
      <w:r>
        <w:rPr>
          <w:rFonts w:hint="eastAsia" w:ascii="仿宋" w:hAnsi="仿宋" w:eastAsia="仿宋" w:cstheme="minorEastAsia"/>
          <w:sz w:val="24"/>
          <w:szCs w:val="24"/>
          <w:lang w:val="en-US" w:eastAsia="zh-CN"/>
        </w:rPr>
        <w:t>华智未来的</w:t>
      </w:r>
      <w:r>
        <w:rPr>
          <w:rFonts w:ascii="仿宋" w:hAnsi="仿宋" w:eastAsia="仿宋" w:cstheme="minorEastAsia"/>
          <w:sz w:val="24"/>
          <w:szCs w:val="24"/>
        </w:rPr>
        <w:t>战略定位与核心优势</w:t>
      </w:r>
    </w:p>
    <w:p w14:paraId="573682E7">
      <w:pPr>
        <w:pStyle w:val="3"/>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1、全产业链整合能力</w:t>
      </w:r>
    </w:p>
    <w:p w14:paraId="2F9D3D4F">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华智未来以全链条整合为核心，从原始数据采集、处理、存储，再到高性能算力提供和智能算法研发，打通从底层算力到海量数据，再到各类应用场景的闭环服务体系，构建了一条完整的产业链，确保了数据在整个生命周期内都能最大限度地发挥价值，为不同行业的应用提供精准、高效的技术支持。</w:t>
      </w:r>
    </w:p>
    <w:p w14:paraId="6C0B47DB">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通过整合各环节的资源和能力，与硬件供应商、云服务提供商、行业领先企业以及科研院校的深度合作，整合各行业领先技术和平台，实现了技术与应用的高效对接，构建了一个多方共赢、资源共享的智慧生态系统，从而推动了公共安全、能源管理、制造业、数字文化媒体等多个领域的数字化转型。</w:t>
      </w:r>
    </w:p>
    <w:p w14:paraId="07D08A1C">
      <w:pPr>
        <w:pStyle w:val="3"/>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2、技术优势</w:t>
      </w:r>
    </w:p>
    <w:p w14:paraId="01F12A45">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技术是华智未来核心竞争力的根基。公司拥有一支顶尖的算法团队，依托先进的高性能计算平台和自主研发的AI、大数据处理能力，不断在技术创新领域实现突破，保持持续领先地位。</w:t>
      </w:r>
    </w:p>
    <w:p w14:paraId="45339766">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在高性能计算平台与自主研发的AI、大数据算法</w:t>
      </w:r>
      <w:r>
        <w:rPr>
          <w:rFonts w:hint="eastAsia" w:ascii="仿宋" w:hAnsi="仿宋" w:eastAsia="仿宋" w:cstheme="minorEastAsia"/>
        </w:rPr>
        <w:t>：华智未来构建了先进的高性能计算平台，为各类大规模数据处理和实时计算提供了坚实支撑。公司自主研发的人工智能算法和大数据处理技术具备高度的灵活性和扩展性，能够有效应对海量数据处理、实时分析及智能决策的需求。</w:t>
      </w:r>
    </w:p>
    <w:p w14:paraId="449685D0">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丰富的行业模型与数据资产管理能力</w:t>
      </w:r>
      <w:r>
        <w:rPr>
          <w:rFonts w:hint="eastAsia" w:ascii="仿宋" w:hAnsi="仿宋" w:eastAsia="仿宋" w:cstheme="minorEastAsia"/>
        </w:rPr>
        <w:t>：公司积累了丰富的垂直行业模型，针对不同行业的数字化改造提供专业化的智能解决方案。同时，华智未来建立了健全的数据资产管理体系，从数据采集、清洗、标注到数据确权、估值和交易，形成了一整套标准化、规范化的操作流程，确保数据资产的高质量和高效利用。</w:t>
      </w:r>
    </w:p>
    <w:p w14:paraId="51A1E568">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顶尖算法团队与先进算力</w:t>
      </w:r>
      <w:r>
        <w:rPr>
          <w:rFonts w:hint="eastAsia" w:ascii="仿宋" w:hAnsi="仿宋" w:eastAsia="仿宋" w:cstheme="minorEastAsia"/>
        </w:rPr>
        <w:t>：我们汇聚了业内知名的研发人才，团队成员来自顶级科研机构和国际著名高校，具备深厚的理论基础和丰富的实践经验。依托自主研发的高性能计算平台，华智未来在深度学习、图像识别、数据挖掘等领域不断突破，实现技术的实时迭代与创新。</w:t>
      </w:r>
    </w:p>
    <w:p w14:paraId="64CB332E">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持续创新与知识产权积累</w:t>
      </w:r>
      <w:r>
        <w:rPr>
          <w:rFonts w:hint="eastAsia" w:ascii="仿宋" w:hAnsi="仿宋" w:eastAsia="仿宋" w:cstheme="minorEastAsia"/>
        </w:rPr>
        <w:t>：在不断突破技术壁垒的同时，公司坚持以研发为驱动，重视技术成果的转化。通过不断投入研发力量，华智未来已积累了丰厚的自主知识产权，拥有多项核心技术专利和软件著作权，为创新能力提供了坚实保障，并确保在激烈的市场竞争中保持持续优势。</w:t>
      </w:r>
    </w:p>
    <w:p w14:paraId="46BDE47F">
      <w:pPr>
        <w:pStyle w:val="3"/>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3、市场与渠道优势</w:t>
      </w:r>
    </w:p>
    <w:p w14:paraId="7DF3C482">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华智未来充分利用在算力算法大数据方面的优势，深耕G、B、C三端市场，形成了独特的市场与渠道优势，为各类客户提供定制化、一体化的数字化集成解决方案：</w:t>
      </w:r>
    </w:p>
    <w:p w14:paraId="0BC6B068">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G端（政府与公共安全）</w:t>
      </w:r>
      <w:r>
        <w:rPr>
          <w:rFonts w:hint="eastAsia" w:ascii="仿宋" w:hAnsi="仿宋" w:eastAsia="仿宋" w:cstheme="minorEastAsia"/>
        </w:rPr>
        <w:t xml:space="preserve"> 公司在公安、消防以及农林水环境监管等政府级应用上积累了丰富经验，与多地政府及公共安全部门建立了紧密合作关系。华智未来的智能视频监控、行为分析和预警系统等产品，帮助政府实现精准治安管理和应急管理，构建更安全、智慧的公共治理体系。</w:t>
      </w:r>
    </w:p>
    <w:p w14:paraId="606A3EF3">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B端（大型企业垂直应用）</w:t>
      </w:r>
      <w:r>
        <w:rPr>
          <w:rFonts w:hint="eastAsia" w:ascii="仿宋" w:hAnsi="仿宋" w:eastAsia="仿宋" w:cstheme="minorEastAsia"/>
        </w:rPr>
        <w:t xml:space="preserve"> 针对大型企业在智能制造、智慧医疗、能源管理、数字文旅等领域的个性化需求，华智未来推出了定制化的垂直行业解决方案。通过深度定制的行业智能模型和数据资产转化方案，公司能够协助企业实现全业务链的智能化升级，提升运营效率和市场竞争力。</w:t>
      </w:r>
    </w:p>
    <w:p w14:paraId="66FDE0D1">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C端（基于AI数字人的互动应用）</w:t>
      </w:r>
      <w:r>
        <w:rPr>
          <w:rFonts w:hint="eastAsia" w:ascii="仿宋" w:hAnsi="仿宋" w:eastAsia="仿宋" w:cstheme="minorEastAsia"/>
        </w:rPr>
        <w:t xml:space="preserve"> 在消费级数字化应用领域，公司率先探索基于人工智能的数字人产品。该产品不仅涵盖智能客服、虚拟助理，还在互动娱乐、个性化教育等多个场景中实现了落地。凭借高度智能化和人性化的用户体验，华智未来正逐步构建面向消费者的全新数字互动生态，为现代生活方式注入科技感与体验升级。</w:t>
      </w:r>
    </w:p>
    <w:p w14:paraId="2D05C17E">
      <w:pPr>
        <w:pStyle w:val="6"/>
        <w:widowControl/>
        <w:snapToGrid w:val="0"/>
        <w:spacing w:beforeAutospacing="0" w:after="156" w:afterLines="50" w:afterAutospacing="0" w:line="460" w:lineRule="exact"/>
        <w:rPr>
          <w:rFonts w:hint="eastAsia" w:ascii="仿宋" w:hAnsi="仿宋" w:eastAsia="仿宋" w:cstheme="minorEastAsia"/>
          <w:b/>
          <w:bCs/>
        </w:rPr>
      </w:pPr>
      <w:r>
        <w:rPr>
          <w:rFonts w:hint="eastAsia" w:ascii="仿宋" w:hAnsi="仿宋" w:eastAsia="仿宋" w:cstheme="minorEastAsia"/>
          <w:b/>
          <w:bCs/>
        </w:rPr>
        <w:t>4、系统集成能力</w:t>
      </w:r>
    </w:p>
    <w:p w14:paraId="50DCD5C4">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华智未来始终致力于构建端到端的全链路解决方案。通过高效整合硬件、软件、平台以及生态伙伴，公司能够打造跨场景、跨领域的全面解决方案，为各类政府、企业和消费者提供一体化智能应用。</w:t>
      </w:r>
    </w:p>
    <w:p w14:paraId="4301959F">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全链路资源整合：我们将高性能算力、海量数据资源以及先进的算法技术有效打通，从底层基础设施到上层应用场景，实现业务与技术的无缝衔接。无论是公共安全、企业垂直应用，还是面向消费者的数字体验，华智未来均能提供从方案规划、系统集成到运营维护的全周期服务。</w:t>
      </w:r>
    </w:p>
    <w:p w14:paraId="54DDB138">
      <w:pPr>
        <w:pStyle w:val="6"/>
        <w:widowControl/>
        <w:snapToGrid w:val="0"/>
        <w:spacing w:beforeAutospacing="0" w:after="156" w:afterLines="50" w:afterAutospacing="0" w:line="460" w:lineRule="exact"/>
        <w:ind w:firstLine="480" w:firstLineChars="200"/>
        <w:rPr>
          <w:rFonts w:hint="eastAsia" w:ascii="仿宋" w:hAnsi="仿宋" w:eastAsia="仿宋" w:cstheme="minorEastAsia"/>
        </w:rPr>
      </w:pPr>
      <w:r>
        <w:rPr>
          <w:rFonts w:hint="eastAsia" w:ascii="仿宋" w:hAnsi="仿宋" w:eastAsia="仿宋" w:cstheme="minorEastAsia"/>
        </w:rPr>
        <w:t>跨场景协同应用：凭借整合多领域资源的能力，华智未来构建了跨场景、跨行业的智慧生态系统。我们整合来自政府、企业和消费者端的不同需求，通过定制化的系统集成解决方案，帮助客户实现数据共享、信息互通和协同增效，让复杂的业务场景变得简单高效。</w:t>
      </w:r>
    </w:p>
    <w:p w14:paraId="34A6AB63">
      <w:pPr>
        <w:pStyle w:val="2"/>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三、</w:t>
      </w:r>
      <w:r>
        <w:rPr>
          <w:rFonts w:hint="eastAsia" w:ascii="仿宋" w:hAnsi="仿宋" w:eastAsia="仿宋" w:cstheme="minorEastAsia"/>
          <w:sz w:val="24"/>
          <w:szCs w:val="24"/>
          <w:lang w:val="en-US" w:eastAsia="zh-CN"/>
        </w:rPr>
        <w:t>华智未来的</w:t>
      </w:r>
      <w:r>
        <w:rPr>
          <w:rFonts w:ascii="仿宋" w:hAnsi="仿宋" w:eastAsia="仿宋" w:cstheme="minorEastAsia"/>
          <w:sz w:val="24"/>
          <w:szCs w:val="24"/>
        </w:rPr>
        <w:t>产品与解决方案矩阵</w:t>
      </w:r>
    </w:p>
    <w:p w14:paraId="7909B94C">
      <w:pPr>
        <w:pStyle w:val="3"/>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（一） G端 —— 政府级智慧应用</w:t>
      </w:r>
    </w:p>
    <w:p w14:paraId="05168BA1">
      <w:pPr>
        <w:pStyle w:val="4"/>
        <w:widowControl/>
        <w:snapToGrid w:val="0"/>
        <w:spacing w:beforeAutospacing="0" w:after="156" w:afterLines="50" w:afterAutospacing="0" w:line="460" w:lineRule="exact"/>
        <w:rPr>
          <w:rFonts w:ascii="仿宋" w:hAnsi="仿宋" w:eastAsia="仿宋" w:cstheme="minorEastAsia"/>
        </w:rPr>
      </w:pPr>
      <w:r>
        <w:rPr>
          <w:rFonts w:ascii="仿宋" w:hAnsi="仿宋" w:eastAsia="仿宋" w:cstheme="minorEastAsia"/>
        </w:rPr>
        <w:t>1、公安领域</w:t>
      </w:r>
    </w:p>
    <w:p w14:paraId="4CF74C12">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智能视频监控、行为分析与预警系统</w:t>
      </w:r>
      <w:r>
        <w:rPr>
          <w:rFonts w:hint="eastAsia" w:ascii="仿宋" w:hAnsi="仿宋" w:eastAsia="仿宋" w:cstheme="minorEastAsia"/>
        </w:rPr>
        <w:t>：利用高清摄像头阵列、先进的图像识别与深度学习算法，实现对公共场所和重点区域的实时监控。通过多维数据融合和行为轨迹分析，系统能够快速识别异常活动，提前预警，从而提升治安防控的精准度和响应速度。</w:t>
      </w:r>
    </w:p>
    <w:p w14:paraId="462E2B4D">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辅助决策平台</w:t>
      </w:r>
      <w:r>
        <w:rPr>
          <w:rFonts w:hint="eastAsia" w:ascii="仿宋" w:hAnsi="仿宋" w:eastAsia="仿宋" w:cstheme="minorEastAsia"/>
        </w:rPr>
        <w:t>：通过整合视频监控、传感器采集及历史数据分析，平台为公安部门提供数据驱动的决策支持。利用大数据分析和智能化模型，生成详尽的治安态势报告与预测，为政府部门在资源配置、战术调整及应急处置上提供可靠依据，确保治安管理更高效、更精准。</w:t>
      </w:r>
    </w:p>
    <w:p w14:paraId="743FFDDD">
      <w:pPr>
        <w:pStyle w:val="4"/>
        <w:widowControl/>
        <w:snapToGrid w:val="0"/>
        <w:spacing w:beforeAutospacing="0" w:after="156" w:afterLines="50" w:afterAutospacing="0" w:line="460" w:lineRule="exact"/>
        <w:rPr>
          <w:rFonts w:ascii="仿宋" w:hAnsi="仿宋" w:eastAsia="仿宋" w:cstheme="minorEastAsia"/>
        </w:rPr>
      </w:pPr>
      <w:r>
        <w:rPr>
          <w:rFonts w:ascii="仿宋" w:hAnsi="仿宋" w:eastAsia="仿宋" w:cstheme="minorEastAsia"/>
        </w:rPr>
        <w:t>2、消防管理</w:t>
      </w:r>
    </w:p>
    <w:p w14:paraId="55FAFFC5">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智能火灾监测与风险评估系统</w:t>
      </w:r>
      <w:r>
        <w:rPr>
          <w:rFonts w:hint="eastAsia" w:ascii="仿宋" w:hAnsi="仿宋" w:eastAsia="仿宋" w:cstheme="minorEastAsia"/>
        </w:rPr>
        <w:t>：结合物联网传感器、烟雾检测装置与大数据分析，系统实时监控火灾隐患区域并进行风险评估。通过智能算法识别异常信号，提前诊断潜在火情，减少误报和漏报情况，确保火情信息的持续、准确传递。</w:t>
      </w:r>
    </w:p>
    <w:p w14:paraId="19330568">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快速响应和资源调度一体化解决方案</w:t>
      </w:r>
      <w:r>
        <w:rPr>
          <w:rFonts w:hint="eastAsia" w:ascii="仿宋" w:hAnsi="仿宋" w:eastAsia="仿宋" w:cstheme="minorEastAsia"/>
        </w:rPr>
        <w:t>：在火灾预警触发后，系统立即启动应急预案，实现从报警到响应的自动化流程。通过整合消防、安保及相关应急管理资源，构建高效的响应调度体系，确保各救援部门能够迅速获取信息、共享资源，从而在关键时刻快速实施灭火和救援工作。</w:t>
      </w:r>
    </w:p>
    <w:p w14:paraId="55631C47">
      <w:pPr>
        <w:pStyle w:val="4"/>
        <w:widowControl/>
        <w:snapToGrid w:val="0"/>
        <w:spacing w:beforeAutospacing="0" w:after="156" w:afterLines="50" w:afterAutospacing="0" w:line="460" w:lineRule="exact"/>
        <w:rPr>
          <w:rFonts w:ascii="仿宋" w:hAnsi="仿宋" w:eastAsia="仿宋" w:cstheme="minorEastAsia"/>
        </w:rPr>
      </w:pPr>
      <w:r>
        <w:rPr>
          <w:rFonts w:ascii="仿宋" w:hAnsi="仿宋" w:eastAsia="仿宋" w:cstheme="minorEastAsia"/>
        </w:rPr>
        <w:t>3、农林水环境监管</w:t>
      </w:r>
    </w:p>
    <w:p w14:paraId="5640C428">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生态监控平台构建</w:t>
      </w:r>
      <w:r>
        <w:rPr>
          <w:rFonts w:hint="eastAsia" w:ascii="仿宋" w:hAnsi="仿宋" w:eastAsia="仿宋" w:cstheme="minorEastAsia"/>
        </w:rPr>
        <w:t>：融合遥感技术、分布式传感器与大数据分析方法，构建覆盖农业、林业及水域等重点生态区域的全方位监控平台。该平台能够实时采集环境指标数据，辅助进行水质、土壤、植被和气候变化等多指标综合监测。</w:t>
      </w:r>
    </w:p>
    <w:p w14:paraId="0DB20FBF">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实时监测、预警与数据分析</w:t>
      </w:r>
      <w:r>
        <w:rPr>
          <w:rFonts w:hint="eastAsia" w:ascii="仿宋" w:hAnsi="仿宋" w:eastAsia="仿宋" w:cstheme="minorEastAsia"/>
        </w:rPr>
        <w:t>：平台通过对采集数据的实时分析，识别潜在环境风险并迅速发出预警。利用历史数据与趋势模型，帮助环保管理部门制定科学、合理的生态治理方案，确保环境监管更加精准和高效，为区域可持续发展提供数据支撑。</w:t>
      </w:r>
    </w:p>
    <w:p w14:paraId="0312C45E">
      <w:pPr>
        <w:pStyle w:val="3"/>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（二） B端 —— 大型企业垂直应用</w:t>
      </w:r>
    </w:p>
    <w:p w14:paraId="0204038C">
      <w:pPr>
        <w:pStyle w:val="4"/>
        <w:widowControl/>
        <w:snapToGrid w:val="0"/>
        <w:spacing w:beforeAutospacing="0" w:after="156" w:afterLines="50" w:afterAutospacing="0" w:line="460" w:lineRule="exact"/>
        <w:rPr>
          <w:rFonts w:ascii="仿宋" w:hAnsi="仿宋" w:eastAsia="仿宋" w:cstheme="minorEastAsia"/>
        </w:rPr>
      </w:pPr>
      <w:r>
        <w:rPr>
          <w:rFonts w:ascii="仿宋" w:hAnsi="仿宋" w:eastAsia="仿宋" w:cstheme="minorEastAsia"/>
        </w:rPr>
        <w:t>1、垂直行业智能模型</w:t>
      </w:r>
    </w:p>
    <w:p w14:paraId="6F08CA94">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定制化解决方案</w:t>
      </w:r>
      <w:r>
        <w:rPr>
          <w:rFonts w:hint="eastAsia" w:ascii="仿宋" w:hAnsi="仿宋" w:eastAsia="仿宋" w:cstheme="minorEastAsia"/>
        </w:rPr>
        <w:t>：面向传统制造、医疗、文旅、能源等核心行业，华智未来为各大企业提供深度定制化的智能模型。通过分析行业特定需求和业务流程，构建量身定做的智能化升级方案，实现从生产计划、质量检测、供应链管理到客户服务全流程的数字化和智能化转型。</w:t>
      </w:r>
    </w:p>
    <w:p w14:paraId="3F5093DC">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全流程智能化升级</w:t>
      </w:r>
      <w:r>
        <w:rPr>
          <w:rFonts w:hint="eastAsia" w:ascii="仿宋" w:hAnsi="仿宋" w:eastAsia="仿宋" w:cstheme="minorEastAsia"/>
        </w:rPr>
        <w:t>：利用自主研发的算法和数据处理平台，企业各环节协同联动，提升信息透明度与决策效率。模型支持动态调整，助力企业在快速变化的市场环境中实现灵活应对，提高运营效率和市场竞争力。</w:t>
      </w:r>
    </w:p>
    <w:p w14:paraId="11453A1D">
      <w:pPr>
        <w:pStyle w:val="4"/>
        <w:widowControl/>
        <w:snapToGrid w:val="0"/>
        <w:spacing w:beforeAutospacing="0" w:after="156" w:afterLines="50" w:afterAutospacing="0" w:line="460" w:lineRule="exact"/>
        <w:rPr>
          <w:rFonts w:ascii="仿宋" w:hAnsi="仿宋" w:eastAsia="仿宋" w:cstheme="minorEastAsia"/>
        </w:rPr>
      </w:pPr>
      <w:r>
        <w:rPr>
          <w:rFonts w:ascii="仿宋" w:hAnsi="仿宋" w:eastAsia="仿宋" w:cstheme="minorEastAsia"/>
        </w:rPr>
        <w:t>2、数据资产管理平台</w:t>
      </w:r>
    </w:p>
    <w:p w14:paraId="27D32030">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全链条数据服务闭环</w:t>
      </w:r>
      <w:r>
        <w:rPr>
          <w:rFonts w:hint="eastAsia" w:ascii="仿宋" w:hAnsi="仿宋" w:eastAsia="仿宋" w:cstheme="minorEastAsia"/>
        </w:rPr>
        <w:t>：建立从数据采集、清洗、标注、确权、估值到交易的全流程一体化平台。通过完善的数据治理体系，确保每一份数据具备明确的所有权和使用权，同时提高数据质量和可靠性。</w:t>
      </w:r>
    </w:p>
    <w:p w14:paraId="69868702">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资产化运营与价值转换</w:t>
      </w:r>
      <w:r>
        <w:rPr>
          <w:rFonts w:hint="eastAsia" w:ascii="仿宋" w:hAnsi="仿宋" w:eastAsia="仿宋" w:cstheme="minorEastAsia"/>
        </w:rPr>
        <w:t>：平台通过大数据分析和智能预测，为企业准确评估数据价值，助力数据资产化运营。实现数据流转、价值提取与高效交易，帮助企业将数据转化为实际生产力和经济利润，为企业提供新型数字化竞争优势。</w:t>
      </w:r>
    </w:p>
    <w:p w14:paraId="4CDD3F8A">
      <w:pPr>
        <w:pStyle w:val="3"/>
        <w:widowControl/>
        <w:snapToGrid w:val="0"/>
        <w:spacing w:beforeAutospacing="0" w:after="156" w:afterLines="50" w:afterAutospacing="0" w:line="460" w:lineRule="exact"/>
        <w:rPr>
          <w:rFonts w:ascii="仿宋" w:hAnsi="仿宋" w:eastAsia="仿宋" w:cstheme="minorEastAsia"/>
          <w:sz w:val="24"/>
          <w:szCs w:val="24"/>
        </w:rPr>
      </w:pPr>
      <w:r>
        <w:rPr>
          <w:rFonts w:ascii="仿宋" w:hAnsi="仿宋" w:eastAsia="仿宋" w:cstheme="minorEastAsia"/>
          <w:sz w:val="24"/>
          <w:szCs w:val="24"/>
        </w:rPr>
        <w:t>（三）C端 —— 数字人解决方案</w:t>
      </w:r>
    </w:p>
    <w:p w14:paraId="5EDB69D9">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智能客服与虚拟助理</w:t>
      </w:r>
      <w:r>
        <w:rPr>
          <w:rFonts w:hint="eastAsia" w:ascii="仿宋" w:hAnsi="仿宋" w:eastAsia="仿宋" w:cstheme="minorEastAsia"/>
        </w:rPr>
        <w:t>：基于先进的人工智能和自然语言处理技术，打造具备情感识别和语义理解能力的数字人。数字人不仅能即时响应客户咨询，还能提供个性化建议和问题解决方案，实现全天候、高效智能化的客户服务体验。</w:t>
      </w:r>
    </w:p>
    <w:p w14:paraId="28301619">
      <w:pPr>
        <w:pStyle w:val="6"/>
        <w:widowControl/>
        <w:snapToGrid w:val="0"/>
        <w:spacing w:beforeAutospacing="0" w:after="156" w:afterLines="50" w:afterAutospacing="0" w:line="460" w:lineRule="exact"/>
        <w:ind w:firstLine="482" w:firstLineChars="200"/>
        <w:rPr>
          <w:rFonts w:hint="eastAsia" w:ascii="仿宋" w:hAnsi="仿宋" w:eastAsia="仿宋" w:cstheme="minorEastAsia"/>
        </w:rPr>
      </w:pPr>
      <w:r>
        <w:rPr>
          <w:rStyle w:val="9"/>
          <w:rFonts w:hint="eastAsia" w:ascii="仿宋" w:hAnsi="仿宋" w:eastAsia="仿宋" w:cstheme="minorEastAsia"/>
        </w:rPr>
        <w:t>互动娱乐与个性化应用</w:t>
      </w:r>
      <w:r>
        <w:rPr>
          <w:rFonts w:hint="eastAsia" w:ascii="仿宋" w:hAnsi="仿宋" w:eastAsia="仿宋" w:cstheme="minorEastAsia"/>
        </w:rPr>
        <w:t>：数字人解决方案扩展至互动娱乐、虚拟教育、健康咨询等多个消费场景。通过沉浸式交互体验，虚拟人物可以生成多样化的娱乐内容，如情景剧本、定制化演出和互动游戏，同时提供个性化学习和体验建议，提升用户生活品质和品牌互动体验。</w:t>
      </w:r>
    </w:p>
    <w:p w14:paraId="03F55CB5">
      <w:pPr>
        <w:pStyle w:val="6"/>
        <w:widowControl/>
        <w:snapToGrid w:val="0"/>
        <w:spacing w:beforeAutospacing="0" w:after="156" w:afterLines="50" w:afterAutospacing="0" w:line="460" w:lineRule="exact"/>
        <w:rPr>
          <w:rFonts w:hint="eastAsia" w:ascii="仿宋" w:hAnsi="仿宋" w:eastAsia="仿宋" w:cstheme="minorEastAsia"/>
          <w:b/>
          <w:bCs/>
        </w:rPr>
      </w:pPr>
      <w:r>
        <w:rPr>
          <w:rFonts w:hint="eastAsia" w:ascii="仿宋" w:hAnsi="仿宋" w:eastAsia="仿宋" w:cstheme="minorEastAsia"/>
          <w:b/>
          <w:bCs/>
        </w:rPr>
        <w:t>四、</w:t>
      </w:r>
      <w:r>
        <w:rPr>
          <w:rFonts w:hint="eastAsia" w:ascii="仿宋" w:hAnsi="仿宋" w:eastAsia="仿宋" w:cstheme="minorEastAsia"/>
          <w:b/>
          <w:bCs/>
          <w:lang w:val="en-US" w:eastAsia="zh-CN"/>
        </w:rPr>
        <w:t>华智未来的</w:t>
      </w:r>
      <w:r>
        <w:rPr>
          <w:rFonts w:hint="eastAsia" w:ascii="仿宋" w:hAnsi="仿宋" w:eastAsia="仿宋" w:cstheme="minorEastAsia"/>
          <w:b/>
          <w:bCs/>
        </w:rPr>
        <w:t>企业荣誉</w:t>
      </w:r>
    </w:p>
    <w:p w14:paraId="76F239AF">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1、国家级高新技术企业；</w:t>
      </w:r>
    </w:p>
    <w:p w14:paraId="459BD5AD">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2、重庆市专精特新中小企业；</w:t>
      </w:r>
    </w:p>
    <w:p w14:paraId="0661254B">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3、重庆市博士后科研工作站；</w:t>
      </w:r>
    </w:p>
    <w:p w14:paraId="57E060BF">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4、重庆市创新型中小企业；</w:t>
      </w:r>
    </w:p>
    <w:p w14:paraId="55EC698F">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5、重庆市科技型企业；</w:t>
      </w:r>
    </w:p>
    <w:p w14:paraId="031A2C1D">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lang w:val="en-US" w:eastAsia="zh-CN"/>
        </w:rPr>
        <w:t>6、重庆市中小企业技术研发中心</w:t>
      </w:r>
    </w:p>
    <w:p w14:paraId="699A7B8C">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lang w:val="en-US" w:eastAsia="zh-CN"/>
        </w:rPr>
        <w:t>7</w:t>
      </w:r>
      <w:r>
        <w:rPr>
          <w:rFonts w:hint="eastAsia" w:ascii="仿宋" w:hAnsi="仿宋" w:eastAsia="仿宋" w:cstheme="minorEastAsia"/>
        </w:rPr>
        <w:t>、基于算法系统的算力调度系统v1.0被成功纳入2024年第一批重庆市首版次软件产品名单（需具备原始取得的自主知识产权和近两年内取得的著作权登记证书，且展现重大技术突破或市场垄断优势，且实现市场化销售、运行稳定可靠，并通过权威第三方检测）；</w:t>
      </w:r>
    </w:p>
    <w:p w14:paraId="66829993">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lang w:val="en-US" w:eastAsia="zh-CN"/>
        </w:rPr>
        <w:t>8</w:t>
      </w:r>
      <w:r>
        <w:rPr>
          <w:rFonts w:hint="eastAsia" w:ascii="仿宋" w:hAnsi="仿宋" w:eastAsia="仿宋" w:cstheme="minorEastAsia"/>
        </w:rPr>
        <w:t>、华东江苏大数据交易中心“数据资产评估服务商”、“算力调度能力”数据产品登记证书；</w:t>
      </w:r>
    </w:p>
    <w:p w14:paraId="3B4A95F0">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lang w:val="en-US" w:eastAsia="zh-CN"/>
        </w:rPr>
        <w:t>9</w:t>
      </w:r>
      <w:r>
        <w:rPr>
          <w:rFonts w:hint="eastAsia" w:ascii="仿宋" w:hAnsi="仿宋" w:eastAsia="仿宋" w:cstheme="minorEastAsia"/>
        </w:rPr>
        <w:t>、13项软件著作权；</w:t>
      </w:r>
    </w:p>
    <w:p w14:paraId="3766E37E">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lang w:val="en-US" w:eastAsia="zh-CN"/>
        </w:rPr>
        <w:t>10</w:t>
      </w:r>
      <w:r>
        <w:rPr>
          <w:rFonts w:hint="eastAsia" w:ascii="仿宋" w:hAnsi="仿宋" w:eastAsia="仿宋" w:cstheme="minorEastAsia"/>
        </w:rPr>
        <w:t>、</w:t>
      </w:r>
      <w:r>
        <w:rPr>
          <w:rFonts w:hint="eastAsia" w:ascii="仿宋" w:hAnsi="仿宋" w:eastAsia="仿宋" w:cstheme="minorEastAsia"/>
          <w:lang w:val="en-US" w:eastAsia="zh-CN"/>
        </w:rPr>
        <w:t>2</w:t>
      </w:r>
      <w:r>
        <w:rPr>
          <w:rFonts w:hint="eastAsia" w:ascii="仿宋" w:hAnsi="仿宋" w:eastAsia="仿宋" w:cstheme="minorEastAsia"/>
        </w:rPr>
        <w:t>项实用型专利；</w:t>
      </w:r>
    </w:p>
    <w:p w14:paraId="0132214F">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1</w:t>
      </w:r>
      <w:r>
        <w:rPr>
          <w:rFonts w:hint="eastAsia" w:ascii="仿宋" w:hAnsi="仿宋" w:eastAsia="仿宋" w:cstheme="minorEastAsia"/>
          <w:lang w:val="en-US" w:eastAsia="zh-CN"/>
        </w:rPr>
        <w:t>1</w:t>
      </w:r>
      <w:r>
        <w:rPr>
          <w:rFonts w:hint="eastAsia" w:ascii="仿宋" w:hAnsi="仿宋" w:eastAsia="仿宋" w:cstheme="minorEastAsia"/>
        </w:rPr>
        <w:t>、更多荣誉在途......</w:t>
      </w:r>
    </w:p>
    <w:p w14:paraId="7B348094">
      <w:pPr>
        <w:keepNext w:val="0"/>
        <w:keepLines w:val="0"/>
        <w:widowControl w:val="0"/>
        <w:suppressLineNumbers w:val="0"/>
        <w:spacing w:before="0" w:beforeAutospacing="0" w:after="0" w:afterAutospacing="0"/>
        <w:ind w:left="0" w:right="0"/>
        <w:jc w:val="both"/>
        <w:rPr>
          <w:rFonts w:hint="eastAsia" w:ascii="仿宋" w:hAnsi="仿宋" w:eastAsia="仿宋" w:cstheme="minorEastAsia"/>
          <w:b/>
          <w:bCs/>
        </w:rPr>
      </w:pPr>
      <w:r>
        <w:rPr>
          <w:rFonts w:hint="eastAsia" w:ascii="仿宋" w:hAnsi="仿宋" w:eastAsia="仿宋" w:cstheme="minorEastAsia"/>
          <w:b/>
          <w:bCs/>
        </w:rPr>
        <w:t>五、</w:t>
      </w:r>
      <w:r>
        <w:rPr>
          <w:rFonts w:hint="eastAsia" w:ascii="仿宋" w:hAnsi="仿宋" w:eastAsia="仿宋" w:cs="仿宋"/>
          <w:b/>
          <w:bCs/>
          <w:kern w:val="2"/>
          <w:sz w:val="21"/>
          <w:szCs w:val="21"/>
          <w:lang w:val="en-US" w:eastAsia="zh-CN" w:bidi="ar"/>
        </w:rPr>
        <w:t>华智未来的</w:t>
      </w:r>
      <w:bookmarkStart w:id="0" w:name="_GoBack"/>
      <w:bookmarkEnd w:id="0"/>
      <w:r>
        <w:rPr>
          <w:rFonts w:hint="eastAsia" w:ascii="仿宋" w:hAnsi="仿宋" w:eastAsia="仿宋" w:cstheme="minorEastAsia"/>
          <w:b/>
          <w:bCs/>
        </w:rPr>
        <w:t>合作伙伴</w:t>
      </w:r>
    </w:p>
    <w:p w14:paraId="2835A667">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1、中电算力科技应用（宁夏）有限公司、华创国控（重庆）科技有限公司、三大运营商等20 余家央国企；</w:t>
      </w:r>
    </w:p>
    <w:p w14:paraId="2D3D8D5E">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2、宗申产业集团有限公司、软通动力信息技术（集团）有限公司等30余家上市公司；</w:t>
      </w:r>
    </w:p>
    <w:p w14:paraId="2D6521B9">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3、国家现代中药创新中心、重庆市教科院教育研究所、诺贝尔奖科学家工作站、院士成果转化平台、上海合作组织国家多功能经贸平台农文旅文化服务工作委员会等10余家机构；</w:t>
      </w:r>
    </w:p>
    <w:p w14:paraId="1BCB7021">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4、清华大学、新加坡国立大学、维也纳大学、北京大学光华管理学院、上海交通大学、电子科技大学、重庆大学、西南大学等20余家海内外知名高校；</w:t>
      </w:r>
    </w:p>
    <w:p w14:paraId="6699651F">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5、京、</w:t>
      </w:r>
      <w:r>
        <w:rPr>
          <w:rFonts w:hint="eastAsia" w:ascii="仿宋" w:hAnsi="仿宋" w:eastAsia="仿宋" w:cstheme="minorEastAsia"/>
          <w:lang w:val="en-US" w:eastAsia="zh-CN"/>
        </w:rPr>
        <w:t>川</w:t>
      </w:r>
      <w:r>
        <w:rPr>
          <w:rFonts w:hint="eastAsia" w:ascii="仿宋" w:hAnsi="仿宋" w:eastAsia="仿宋" w:cstheme="minorEastAsia"/>
        </w:rPr>
        <w:t>、渝等多地超算中心，阿里云、天翼云、华为云等云服务商以及地市级政府数据中心等；</w:t>
      </w:r>
    </w:p>
    <w:p w14:paraId="04BC2B06">
      <w:pPr>
        <w:pStyle w:val="6"/>
        <w:widowControl/>
        <w:snapToGrid w:val="0"/>
        <w:spacing w:beforeAutospacing="0" w:after="156" w:afterLines="50" w:afterAutospacing="0" w:line="460" w:lineRule="exact"/>
        <w:rPr>
          <w:rFonts w:hint="eastAsia" w:ascii="仿宋" w:hAnsi="仿宋" w:eastAsia="仿宋" w:cstheme="minorEastAsia"/>
        </w:rPr>
      </w:pPr>
      <w:r>
        <w:rPr>
          <w:rFonts w:hint="eastAsia" w:ascii="仿宋" w:hAnsi="仿宋" w:eastAsia="仿宋" w:cstheme="minorEastAsia"/>
        </w:rPr>
        <w:t>6、南洋理工大学、重庆邮电学院、重庆大学、成都电子科技大学等大学建立研学+实习项目基地。生活品质和品牌互动体验。</w:t>
      </w:r>
    </w:p>
    <w:p w14:paraId="76BBB4B5">
      <w:pPr>
        <w:pStyle w:val="6"/>
        <w:widowControl/>
        <w:snapToGrid w:val="0"/>
        <w:spacing w:beforeAutospacing="0" w:after="156" w:afterLines="50" w:afterAutospacing="0" w:line="460" w:lineRule="exact"/>
        <w:rPr>
          <w:rFonts w:hint="eastAsia" w:ascii="仿宋" w:hAnsi="仿宋" w:eastAsia="仿宋" w:cstheme="minorEastAsia"/>
        </w:rPr>
      </w:pPr>
    </w:p>
    <w:p w14:paraId="7170E10D"/>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110C0">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BE3CE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5BE3CEC">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083632"/>
    <w:rsid w:val="4A083632"/>
    <w:rsid w:val="55BD4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1</Lines>
  <Paragraphs>1</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2025-04-15T01:53:00Z</dcterms:created>
  <dc:creator>风中</dc:creator>
  <cp:lastModifiedBy>风中</cp:lastModifiedBy>
  <dcterms:modified xsi:type="dcterms:W3CDTF">2025-04-15T01:56:49Z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547FBB565E984014B4C2F01041F6EF30_11</vt:lpwstr>
  </property>
  <property fmtid="{D5CDD505-2E9C-101B-9397-08002B2CF9AE}" pid="4" name="KSOTemplateDocerSaveRecord">
    <vt:lpwstr>eyJoZGlkIjoiODhiMjk1YjY3YjUzYTU4MmJlZTM3ODQ5NjcwYjFiYTciLCJ1c2VySWQiOiI0NDQyODUzMDkifQ==</vt:lpwstr>
  </property>
</Properties>
</file>