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46E78">
      <w:pPr>
        <w:jc w:val="center"/>
        <w:rPr>
          <w:rFonts w:ascii="Times New Roman" w:hAnsi="Times New Roman" w:cs="Times New Roman"/>
        </w:rPr>
      </w:pPr>
    </w:p>
    <w:p w14:paraId="79F4F161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04296642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326C5F17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555D5C21">
      <w:pPr>
        <w:spacing w:before="0" w:after="0" w:line="240" w:lineRule="auto"/>
        <w:ind/>
        <w:jc w:val="center"/>
        <w:rPr>
          <w:rFonts w:ascii="Times New Roman" w:hAnsi="Times New Roman" w:eastAsia="华文中宋" w:cs="Times New Roman"/>
          <w:b/>
          <w:sz w:val="72"/>
        </w:rPr>
      </w:pPr>
      <w:r>
        <w:rPr>
          <w:rFonts w:hint="eastAsia" w:ascii="Times New Roman" w:hAnsi="Times New Roman" w:eastAsia="黑体" w:cs="Times New Roman"/>
          <w:b/>
          <w:sz w:val="72"/>
        </w:rPr>
        <w:t>《深度学习案例与实践》</w:t>
      </w:r>
    </w:p>
    <w:p w14:paraId="230EE91B">
      <w:pPr>
        <w:spacing w:before="0" w:after="0" w:line="240" w:lineRule="auto"/>
        <w:ind/>
        <w:jc w:val="center"/>
        <w:rPr>
          <w:rFonts w:ascii="Times New Roman" w:hAnsi="Times New Roman" w:eastAsia="华文中宋" w:cs="Times New Roman"/>
          <w:b/>
          <w:sz w:val="20"/>
        </w:rPr>
      </w:pPr>
      <w:r>
        <w:rPr>
          <w:rFonts w:ascii="Times New Roman" w:hAnsi="Times New Roman" w:eastAsia="黑体" w:cs="Times New Roman"/>
          <w:b/>
          <w:sz w:val="44"/>
        </w:rPr>
        <w:t>报告</w:t>
      </w:r>
    </w:p>
    <w:p w14:paraId="0E117FDC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04BB83A6">
      <w:pPr>
        <w:rPr>
          <w:rFonts w:ascii="Times New Roman" w:hAnsi="Times New Roman" w:cs="Times New Roman"/>
        </w:rPr>
      </w:pPr>
    </w:p>
    <w:p w14:paraId="28B62516">
      <w:pPr>
        <w:rPr>
          <w:rFonts w:ascii="Times New Roman" w:hAnsi="Times New Roman" w:cs="Times New Roman"/>
        </w:rPr>
      </w:pPr>
    </w:p>
    <w:tbl>
      <w:tblPr>
        <w:tblStyle w:val="15"/>
        <w:tblW w:w="68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4767"/>
      </w:tblGrid>
      <w:tr w14:paraId="1B588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6EB99628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/>
                <w:kern w:val="10"/>
                <w:sz w:val="21"/>
              </w:rPr>
              <w:t>学    院</w:t>
            </w:r>
          </w:p>
        </w:tc>
        <w:tc>
          <w:tcPr>
            <w:tcW w:w="4767" w:type="dxa"/>
            <w:tcBorders>
              <w:bottom w:val="single" w:color="auto" w:sz="4" w:space="0"/>
            </w:tcBorders>
            <w:vAlign w:val="center"/>
          </w:tcPr>
          <w:p w14:paraId="5848E31F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【请填写学院】</w:t>
            </w:r>
          </w:p>
        </w:tc>
      </w:tr>
      <w:tr w14:paraId="3B6AF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2D86A3CF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专    业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AF973C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【请填写专业】</w:t>
            </w:r>
          </w:p>
        </w:tc>
      </w:tr>
      <w:tr w14:paraId="4B3DE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052" w:type="dxa"/>
            <w:vAlign w:val="center"/>
          </w:tcPr>
          <w:p w14:paraId="0087EF54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学    号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8FD43A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【请填写学号】</w:t>
            </w:r>
          </w:p>
        </w:tc>
      </w:tr>
      <w:tr w14:paraId="719C5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052" w:type="dxa"/>
            <w:vAlign w:val="center"/>
          </w:tcPr>
          <w:p w14:paraId="20CA4AAA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姓    名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1991AE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【请填写姓名】</w:t>
            </w:r>
          </w:p>
        </w:tc>
      </w:tr>
    </w:tbl>
    <w:p w14:paraId="3292E7E4">
      <w:pPr>
        <w:spacing w:line="600" w:lineRule="exact"/>
        <w:jc w:val="center"/>
        <w:rPr>
          <w:rFonts w:ascii="Times New Roman" w:hAnsi="Times New Roman" w:eastAsia="黑体" w:cs="Times New Roman"/>
          <w:spacing w:val="22"/>
          <w:kern w:val="10"/>
          <w:sz w:val="30"/>
        </w:rPr>
      </w:pPr>
    </w:p>
    <w:p w14:paraId="7CAF00BF">
      <w:pPr>
        <w:widowControl/>
        <w:jc w:val="lef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71B3E9BC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 w14:paraId="03E6DFE5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tbl>
      <w:tblPr>
        <w:tblStyle w:val="1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33"/>
        <w:gridCol w:w="2858"/>
      </w:tblGrid>
      <w:tr w14:paraId="79C24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  <w:jc w:val="center"/>
        </w:trPr>
        <w:tc>
          <w:tcPr>
            <w:tcW w:w="2831" w:type="dxa"/>
            <w:vAlign w:val="center"/>
          </w:tcPr>
          <w:p w14:paraId="0DA6F61C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33" w:type="dxa"/>
            <w:vAlign w:val="center"/>
          </w:tcPr>
          <w:p w14:paraId="593C37E2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58" w:type="dxa"/>
            <w:vAlign w:val="center"/>
          </w:tcPr>
          <w:p w14:paraId="7638BD47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</w:tbl>
    <w:p w14:paraId="75235A59">
      <w:pPr>
        <w:pStyle w:val="2"/>
        <w:spacing w:before="240" w:after="240" w:line="240" w:lineRule="auto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44"/>
        </w:rPr>
        <w:t>1  Anaconda 下载与环境配置</w:t>
      </w:r>
    </w:p>
    <w:p w14:paraId="07A0EBB3">
      <w:pPr>
        <w:pStyle w:val="3"/>
        <w:spacing w:before="120" w:after="120" w:line="24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1.1  下载页面</w:t>
      </w:r>
    </w:p>
    <w:p w14:paraId="014510E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相关操作或实验结果如图1所示。</w:t>
      </w:r>
    </w:p>
    <w:p w14:paraId="231E63A7">
      <w:pPr>
        <w:jc w:val="center"/>
      </w:pPr>
      <w:r>
        <w:drawing>
          <wp:inline distT="0" distB="0" distL="114300" distR="114300">
            <wp:extent cx="4320000" cy="2086021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8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CDE6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  Anaconda 官方下载页面</w:t>
      </w:r>
    </w:p>
    <w:p w14:paraId="7079FCF6">
      <w:pPr>
        <w:pStyle w:val="13"/>
        <w:keepNext w:val="0"/>
        <w:keepLines w:val="0"/>
        <w:widowControl/>
        <w:suppressLineNumbers w:val="0"/>
        <w:spacing w:before="0" w:after="0" w:line="360" w:lineRule="auto"/>
        <w:ind w:right="720" w:firstLine="480"/>
      </w:pPr>
      <w:r>
        <w:rPr>
          <w:rFonts w:hint="eastAsia" w:ascii="Times New Roman" w:hAnsi="Times New Roman" w:eastAsia="宋体"/>
          <w:sz w:val="24"/>
          <w:lang w:val="en-US" w:eastAsia="zh-CN"/>
        </w:rPr>
        <w:t>2.</w:t>
      </w:r>
      <w:r>
        <w:rPr>
          <w:rFonts w:hint="eastAsia" w:ascii="Times New Roman" w:hAnsi="Times New Roman" w:eastAsia="宋体" w:cs="宋体"/>
          <w:sz w:val="24"/>
          <w:szCs w:val="24"/>
        </w:rPr>
        <w:t>不要点绿色</w:t>
      </w:r>
      <w:r>
        <w:rPr>
          <w:rStyle w:val="21"/>
          <w:rFonts w:hint="eastAsia" w:ascii="Times New Roman" w:hAnsi="Times New Roman" w:eastAsia="宋体" w:cs="宋体"/>
          <w:sz w:val="24"/>
          <w:szCs w:val="24"/>
        </w:rPr>
        <w:t>Get Started</w:t>
      </w:r>
      <w:r>
        <w:rPr>
          <w:rFonts w:hint="eastAsia" w:ascii="Times New Roman" w:hAnsi="Times New Roman" w:eastAsia="宋体" w:cs="宋体"/>
          <w:sz w:val="24"/>
          <w:szCs w:val="24"/>
        </w:rPr>
        <w:t>，那个会要求注册账号。直接用</w:t>
      </w:r>
      <w:r>
        <w:rPr>
          <w:rStyle w:val="18"/>
          <w:rFonts w:hint="eastAsia" w:ascii="Times New Roman" w:hAnsi="Times New Roman" w:eastAsia="宋体" w:cs="宋体"/>
          <w:sz w:val="24"/>
          <w:szCs w:val="24"/>
        </w:rPr>
        <w:t>Skip Registration 跳过注册</w:t>
      </w:r>
      <w:r>
        <w:rPr>
          <w:rFonts w:hint="eastAsia" w:ascii="Times New Roman" w:hAnsi="Times New Roman" w:eastAsia="宋体" w:cs="宋体"/>
          <w:sz w:val="24"/>
          <w:szCs w:val="24"/>
        </w:rPr>
        <w:t>，绕开登录即可下载安装包。</w:t>
      </w:r>
    </w:p>
    <w:p w14:paraId="7DB6569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3.官网下载慢，用清华的镜像网站</w:t>
      </w:r>
    </w:p>
    <w:p w14:paraId="31F42B9B">
      <w:p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fldChar w:fldCharType="begin"/>
      </w:r>
      <w:r>
        <w:rPr>
          <w:rFonts w:ascii="Times New Roman" w:hAnsi="Times New Roman" w:eastAsia="宋体" w:cs="宋体"/>
          <w:sz w:val="24"/>
          <w:szCs w:val="24"/>
        </w:rPr>
        <w:instrText xml:space="preserve"> HYPERLINK "https://mirrors.tuna.tsinghua.edu.cn/anaconda/archive/" </w:instrText>
      </w:r>
      <w:r>
        <w:rPr>
          <w:rFonts w:ascii="Times New Roman" w:hAnsi="Times New Roman" w:eastAsia="宋体" w:cs="宋体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宋体"/>
          <w:sz w:val="24"/>
          <w:szCs w:val="24"/>
        </w:rPr>
        <w:t>https://mirrors.tuna.tsinghua.edu.cn/anaconda/archive/</w:t>
      </w:r>
      <w:r>
        <w:rPr>
          <w:rFonts w:ascii="Times New Roman" w:hAnsi="Times New Roman" w:eastAsia="宋体" w:cs="宋体"/>
          <w:sz w:val="24"/>
          <w:szCs w:val="24"/>
        </w:rPr>
        <w:fldChar w:fldCharType="end"/>
      </w:r>
      <w:r>
        <w:rPr>
          <w:rFonts w:ascii="Times New Roman" w:hAnsi="Times New Roman" w:eastAsia="宋体" w:cs="宋体"/>
          <w:sz w:val="24"/>
          <w:szCs w:val="24"/>
        </w:rPr>
        <w:t xml:space="preserve"> 找到最新版本的 Anaconda3</w:t>
      </w:r>
      <w:r>
        <w:rPr>
          <w:rFonts w:ascii="Times New Roman" w:hAnsi="Times New Roman" w:eastAsia="宋体" w:cs="宋体"/>
          <w:sz w:val="24"/>
          <w:szCs w:val="24"/>
        </w:rPr>
        <w:noBreakHyphen/>
      </w:r>
      <w:r>
        <w:rPr>
          <w:rFonts w:ascii="Times New Roman" w:hAnsi="Times New Roman" w:eastAsia="宋体" w:cs="宋体"/>
          <w:sz w:val="24"/>
          <w:szCs w:val="24"/>
        </w:rPr>
        <w:t>xxx</w:t>
      </w:r>
      <w:r>
        <w:rPr>
          <w:rFonts w:ascii="Times New Roman" w:hAnsi="Times New Roman" w:eastAsia="宋体" w:cs="宋体"/>
          <w:sz w:val="24"/>
          <w:szCs w:val="24"/>
        </w:rPr>
        <w:noBreakHyphen/>
      </w:r>
      <w:r>
        <w:rPr>
          <w:rFonts w:ascii="Times New Roman" w:hAnsi="Times New Roman" w:eastAsia="宋体" w:cs="宋体"/>
          <w:sz w:val="24"/>
          <w:szCs w:val="24"/>
        </w:rPr>
        <w:t>Windows</w:t>
      </w:r>
      <w:r>
        <w:rPr>
          <w:rFonts w:ascii="Times New Roman" w:hAnsi="Times New Roman" w:eastAsia="宋体" w:cs="宋体"/>
          <w:sz w:val="24"/>
          <w:szCs w:val="24"/>
        </w:rPr>
        <w:noBreakHyphen/>
      </w:r>
      <w:r>
        <w:rPr>
          <w:rFonts w:ascii="Times New Roman" w:hAnsi="Times New Roman" w:eastAsia="宋体" w:cs="宋体"/>
          <w:sz w:val="24"/>
          <w:szCs w:val="24"/>
        </w:rPr>
        <w:t>x86_64.exe 下载。</w:t>
      </w:r>
    </w:p>
    <w:p w14:paraId="5A933CC6">
      <w:pPr>
        <w:spacing w:before="0" w:after="0" w:line="360" w:lineRule="auto"/>
        <w:ind w:firstLine="480"/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4.</w:t>
      </w:r>
    </w:p>
    <w:p w14:paraId="7DEBC6F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相关操作或实验结果如图2所示。</w:t>
      </w:r>
    </w:p>
    <w:p w14:paraId="1FCC7614">
      <w:pPr>
        <w:jc w:val="center"/>
      </w:pPr>
      <w:r>
        <w:drawing>
          <wp:inline distT="0" distB="0" distL="114300" distR="114300">
            <wp:extent cx="4320000" cy="1816775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1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3EAA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  Anaconda 发行版选择页面</w:t>
      </w:r>
    </w:p>
    <w:p w14:paraId="4A0E0269">
      <w:pPr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选择</w:t>
      </w:r>
      <w:r>
        <w:rPr>
          <w:rFonts w:ascii="Times New Roman" w:hAnsi="Times New Roman" w:eastAsia="宋体" w:cs="宋体"/>
          <w:sz w:val="24"/>
          <w:szCs w:val="24"/>
        </w:rPr>
        <w:t>Anaconda Distribution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这个</w:t>
      </w:r>
    </w:p>
    <w:p w14:paraId="081DD1BE">
      <w:pPr>
        <w:spacing w:before="0" w:after="0" w:line="360" w:lineRule="auto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5.检验是否安装</w:t>
      </w:r>
    </w:p>
    <w:p w14:paraId="147A5078">
      <w:pPr>
        <w:spacing w:before="0" w:after="0" w:line="360" w:lineRule="auto"/>
        <w:ind w:firstLine="480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输入win+R，控制面板内输入conda出现下图所示，说明安装成</w:t>
      </w:r>
    </w:p>
    <w:p w14:paraId="2AE3A1A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相关操作或实验结果如图3所示。</w:t>
      </w:r>
    </w:p>
    <w:p w14:paraId="00318F5A">
      <w:pPr>
        <w:jc w:val="center"/>
      </w:pPr>
      <w:r>
        <w:drawing>
          <wp:inline distT="0" distB="0" distL="114300" distR="114300">
            <wp:extent cx="4320000" cy="2255570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394B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  Conda 命令检验</w:t>
      </w:r>
    </w:p>
    <w:p w14:paraId="6B36B0C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相关操作或实验结果如图4所示。</w:t>
      </w:r>
    </w:p>
    <w:p w14:paraId="12B81B27">
      <w:pPr>
        <w:jc w:val="center"/>
      </w:pPr>
      <w:r>
        <w:drawing>
          <wp:inline distT="0" distB="0" distL="114300" distR="114300">
            <wp:extent cx="4320000" cy="2239694"/>
            <wp:effectExtent l="0" t="0" r="571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3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EAA5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  Conda 环境信息输出结果</w:t>
      </w:r>
    </w:p>
    <w:p w14:paraId="21DFE247">
      <w:pPr>
        <w:pStyle w:val="2"/>
        <w:numPr>
          <w:ilvl w:val="0"/>
          <w:numId w:val="0"/>
        </w:numPr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2  CPU 版 PyTorch 安装与张量测试</w:t>
      </w:r>
    </w:p>
    <w:p w14:paraId="56B3E40F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宋体"/>
          <w:sz w:val="24"/>
          <w:lang w:val="en-US" w:eastAsia="zh-CN"/>
        </w:rPr>
        <w:t>打开Anaconda Prompt</w:t>
      </w:r>
    </w:p>
    <w:p w14:paraId="4D65C14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相关操作或实验结果如图5所示。</w:t>
      </w:r>
    </w:p>
    <w:p w14:paraId="73050A78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729631"/>
            <wp:effectExtent l="0" t="0" r="762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29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8E83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  Anaconda Prompt 界面</w:t>
      </w:r>
    </w:p>
    <w:p w14:paraId="0E05A0A4">
      <w:pPr>
        <w:numPr>
          <w:ilvl w:val="0"/>
          <w:numId w:val="0"/>
        </w:numPr>
      </w:pPr>
    </w:p>
    <w:p w14:paraId="3331B418">
      <w:pPr>
        <w:numPr>
          <w:ilvl w:val="0"/>
          <w:numId w:val="0"/>
        </w:numPr>
      </w:pPr>
    </w:p>
    <w:p w14:paraId="479F8E2A">
      <w:pPr>
        <w:numPr>
          <w:ilvl w:val="0"/>
          <w:numId w:val="0"/>
        </w:numPr>
      </w:pPr>
    </w:p>
    <w:p w14:paraId="6B478824">
      <w:pPr>
        <w:numPr>
          <w:ilvl w:val="0"/>
          <w:numId w:val="0"/>
        </w:numPr>
      </w:pPr>
    </w:p>
    <w:p w14:paraId="1FE08A6E">
      <w:pPr>
        <w:numPr>
          <w:ilvl w:val="0"/>
          <w:numId w:val="0"/>
        </w:numPr>
      </w:pPr>
    </w:p>
    <w:p w14:paraId="029C6D6F">
      <w:pPr>
        <w:numPr>
          <w:ilvl w:val="0"/>
          <w:numId w:val="0"/>
        </w:numPr>
      </w:pPr>
    </w:p>
    <w:p w14:paraId="1091356A">
      <w:pPr>
        <w:numPr>
          <w:ilvl w:val="0"/>
          <w:numId w:val="0"/>
        </w:numPr>
      </w:pPr>
    </w:p>
    <w:p w14:paraId="0A4D4620">
      <w:pPr>
        <w:numPr>
          <w:ilvl w:val="0"/>
          <w:numId w:val="0"/>
        </w:numPr>
      </w:pPr>
    </w:p>
    <w:p w14:paraId="042D093D">
      <w:pPr>
        <w:numPr>
          <w:ilvl w:val="0"/>
          <w:numId w:val="0"/>
        </w:numPr>
      </w:pPr>
    </w:p>
    <w:p w14:paraId="3346C7CB">
      <w:pPr>
        <w:numPr>
          <w:ilvl w:val="0"/>
          <w:numId w:val="0"/>
        </w:numPr>
      </w:pPr>
    </w:p>
    <w:p w14:paraId="65F491FF">
      <w:pPr>
        <w:numPr>
          <w:ilvl w:val="0"/>
          <w:numId w:val="0"/>
        </w:numPr>
      </w:pPr>
    </w:p>
    <w:p w14:paraId="0449C1C0">
      <w:pPr>
        <w:numPr>
          <w:ilvl w:val="0"/>
          <w:numId w:val="0"/>
        </w:numPr>
      </w:pPr>
    </w:p>
    <w:p w14:paraId="28664ACD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宋体"/>
          <w:sz w:val="24"/>
          <w:lang w:val="en-US" w:eastAsia="zh-CN"/>
        </w:rPr>
        <w:t>输入指令conda create -n pytorch Python=3.12.7</w:t>
      </w:r>
    </w:p>
    <w:p w14:paraId="2DC9D61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相关操作或实验结果如图6所示。</w:t>
      </w:r>
    </w:p>
    <w:p w14:paraId="628E0DE0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1852971"/>
            <wp:effectExtent l="0" t="0" r="1397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5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14FB4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图6  PyTorch 虚拟环境创建结果</w:t>
      </w:r>
    </w:p>
    <w:p w14:paraId="3A2D8446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 w:eastAsiaTheme="minor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安装成功</w:t>
      </w:r>
    </w:p>
    <w:p w14:paraId="64B7A454">
      <w:pPr>
        <w:numPr>
          <w:ilvl w:val="0"/>
          <w:numId w:val="0"/>
        </w:numPr>
      </w:pPr>
    </w:p>
    <w:p w14:paraId="7803CEFC">
      <w:pPr>
        <w:numPr>
          <w:ilvl w:val="0"/>
          <w:numId w:val="0"/>
        </w:num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Times New Roman" w:hAnsi="Times New Roman" w:eastAsia="宋体"/>
          <w:sz w:val="24"/>
          <w:lang w:val="en-US" w:eastAsia="zh-CN"/>
        </w:rPr>
        <w:t>激活虚拟环境</w:t>
      </w:r>
    </w:p>
    <w:p w14:paraId="5A8B83A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相关操作或实验结果如图7所示。</w:t>
      </w:r>
    </w:p>
    <w:p w14:paraId="4BE664E7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817263"/>
            <wp:effectExtent l="0" t="0" r="762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7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EAE4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图7  PyTorch 虚拟环境激活结果</w:t>
      </w:r>
    </w:p>
    <w:p w14:paraId="34E692D0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成功激活虚拟环境</w:t>
      </w:r>
    </w:p>
    <w:p w14:paraId="628E5249">
      <w:pPr>
        <w:numPr>
          <w:ilvl w:val="0"/>
          <w:numId w:val="0"/>
        </w:numPr>
        <w:spacing w:before="0" w:after="0" w:line="360" w:lineRule="auto"/>
        <w:ind w:left="0" w:leftChars="0" w:firstLineChars="0"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Times New Roman" w:hAnsi="Times New Roman" w:eastAsia="宋体"/>
          <w:sz w:val="24"/>
          <w:lang w:val="en-US" w:eastAsia="zh-CN"/>
        </w:rPr>
        <w:t>在 pytorch环境下，安装 CPU 版 PyTorch</w:t>
      </w:r>
    </w:p>
    <w:p w14:paraId="231F1EF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相关操作或实验结果如图8所示。</w:t>
      </w:r>
    </w:p>
    <w:p w14:paraId="3E22E8ED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2251125"/>
            <wp:effectExtent l="0" t="0" r="3175" b="1270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F31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图8  CPU 版 PyTorch 安装结果</w:t>
      </w:r>
    </w:p>
    <w:p w14:paraId="50A38F0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1C1F7EA">
      <w:pPr>
        <w:numPr>
          <w:ilvl w:val="0"/>
          <w:numId w:val="1"/>
        </w:numPr>
        <w:bidi w:val="0"/>
        <w:spacing w:before="0" w:after="0" w:line="360" w:lineRule="auto"/>
        <w:ind w:firstLine="480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打印一个张量</w:t>
      </w:r>
    </w:p>
    <w:p w14:paraId="7F66FC8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相关操作或实验结果如图9所示。</w:t>
      </w:r>
    </w:p>
    <w:p w14:paraId="3C5EA19C">
      <w:pPr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320000" cy="2845498"/>
            <wp:effectExtent l="0" t="0" r="0" b="762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4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A43E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图9  PyTorch 张量创建与输出结果</w:t>
      </w:r>
    </w:p>
    <w:p w14:paraId="7E82BB43">
      <w:pPr>
        <w:pStyle w:val="2"/>
        <w:numPr>
          <w:ilvl w:val="0"/>
          <w:numId w:val="0"/>
        </w:numPr>
        <w:spacing w:before="240" w:after="240" w:line="240" w:lineRule="auto"/>
        <w:ind w:left="0" w:leftChars="0" w:firstLine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3  全连接网络手写数字识别</w:t>
      </w:r>
    </w:p>
    <w:p w14:paraId="4A37764F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3.1  基线模型运行结果</w:t>
      </w:r>
    </w:p>
    <w:p w14:paraId="709E301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相关操作或实验结果如图10所示。</w:t>
      </w:r>
    </w:p>
    <w:p w14:paraId="707B9635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2119042"/>
            <wp:effectExtent l="0" t="0" r="3810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1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5A77A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图10  全连接网络基线训练过程</w:t>
      </w:r>
    </w:p>
    <w:p w14:paraId="1BD3052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相关操作或实验结果如图11所示。</w:t>
      </w:r>
    </w:p>
    <w:p w14:paraId="4CF9D2D5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2643563"/>
            <wp:effectExtent l="0" t="0" r="6350" b="889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4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6C36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图11  全连接网络基线准确率曲线</w:t>
      </w:r>
    </w:p>
    <w:p w14:paraId="007D305F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3.2  隐藏层宽度调整</w:t>
      </w:r>
    </w:p>
    <w:p w14:paraId="7ECFE412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将隐藏层从128改为256，观察准确率变化</w:t>
      </w:r>
    </w:p>
    <w:p w14:paraId="1D37D5A4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hint="eastAsia" w:ascii="Times New Roman" w:hAnsi="Times New Roman" w:eastAsia="宋体"/>
          <w:sz w:val="24"/>
          <w:lang w:val="en-US" w:eastAsia="zh-CN"/>
        </w:rPr>
        <w:t>将这几段代码的128改为256，</w:t>
      </w:r>
      <w:r>
        <w:rPr>
          <w:rFonts w:ascii="Times New Roman" w:hAnsi="Times New Roman" w:eastAsia="宋体"/>
          <w:sz w:val="24"/>
        </w:rPr>
        <w:t>对比之前 128 神经元的准确率：</w:t>
      </w:r>
    </w:p>
    <w:p w14:paraId="748AFB17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将隐藏层由 128 个神经元增至 256 个后，参数量和模型容量均增加。结合本次运行结果进行比较，训练拟合能力有所增强；测试准确率是否提升仍取决于随机初始化、训练轮数和正则化设置，不能仅凭网络变宽推断必然改善。</w:t>
      </w:r>
    </w:p>
    <w:p w14:paraId="52A21BC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相关操作或实验结果如图12所示。</w:t>
      </w:r>
    </w:p>
    <w:p w14:paraId="1C3619C7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320000" cy="494041"/>
            <wp:effectExtent l="0" t="0" r="5080" b="635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9CE44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图12  隐藏层宽度调整代码</w:t>
      </w:r>
    </w:p>
    <w:p w14:paraId="7E4AD3F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相关操作或实验结果如图13所示。</w:t>
      </w:r>
    </w:p>
    <w:p w14:paraId="6CBE3A1A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2554661"/>
            <wp:effectExtent l="0" t="0" r="5715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8C67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图13  隐藏层宽度调整后的训练结果</w:t>
      </w:r>
    </w:p>
    <w:p w14:paraId="502228B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相关操作或实验结果如图14所示。</w:t>
      </w:r>
    </w:p>
    <w:p w14:paraId="5648FEFF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2715955"/>
            <wp:effectExtent l="0" t="0" r="508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1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346B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图14  隐藏层宽度调整后的准确率曲线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隐藏层宽度实验的量化结果见表1。</w:t>
      </w:r>
    </w:p>
    <w:p>
      <w:pPr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表1  隐藏层宽度对准确率和损失的影响</w:t>
      </w:r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2051"/>
        <w:gridCol w:w="2051"/>
        <w:gridCol w:w="1826"/>
        <w:gridCol w:w="1826"/>
      </w:tblGrid>
      <w:tr w14:paraId="36EBF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3A2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隐藏层神经元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233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训练集最终准确率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505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测试集最终准确率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720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训练集最终损失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2A9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测试集最终损失</w:t>
            </w:r>
          </w:p>
        </w:tc>
      </w:tr>
      <w:tr w14:paraId="7B421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D404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0087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98.72%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1ECB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9168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0.0268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F532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0.0313</w:t>
            </w:r>
          </w:p>
        </w:tc>
      </w:tr>
      <w:tr w14:paraId="0FE95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B03F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A69E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99.01%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20A1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97.90%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B5C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0.0199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6C52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0.0284</w:t>
            </w:r>
          </w:p>
        </w:tc>
      </w:tr>
    </w:tbl>
    <w:p w14:paraId="7D117D94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将隐藏层神经元数量由 128 修改为 256，本实验组严格控制变量，</w:t>
      </w:r>
      <w:r>
        <w:rPr>
          <w:rStyle w:val="18"/>
          <w:rFonts w:ascii="Times New Roman" w:hAnsi="Times New Roman" w:eastAsia="宋体"/>
          <w:sz w:val="24"/>
        </w:rPr>
        <w:t>数据集划分方式、训练迭代轮数、优化器、学习率、随机种子全部保持一致，仅修改隐藏层神经元个数</w:t>
      </w:r>
      <w:r>
        <w:rPr>
          <w:rFonts w:ascii="Times New Roman" w:hAnsi="Times New Roman" w:eastAsia="宋体"/>
          <w:sz w:val="24"/>
        </w:rPr>
        <w:t>，消除其他因素对实验结果带来的干扰，实验结果如表所示。</w:t>
      </w:r>
    </w:p>
    <w:p w14:paraId="0AAA7FFB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由表 可以看出，隐藏层神经元从 128 增加到 256 后，训练集准确率由 98.72% 提升至 99.01%，训练损失由 0.0268 降低至 0.0199；测试集准确率由 97.37% 提升至 97.90%，测试损失由 0.0313 降低至 0.0284。增大隐藏层神经元数量扩大了模型容量，模型学习特征的能力变强，在 MNIST 手写数字识别任务上训练、测试指标均有小幅提升。 但需要注意，神经元数量不是越大性能就一定越好。当任务复杂度升高、数据集样本有限时，一味增大神经元数目，会出现训练集效果持续变好，但测试集性能下降的过拟合现象。</w:t>
      </w:r>
    </w:p>
    <w:p w14:paraId="6B6A186E">
      <w:pPr>
        <w:pStyle w:val="3"/>
        <w:numPr>
          <w:ilvl w:val="0"/>
          <w:numId w:val="0"/>
        </w:numPr>
        <w:spacing w:before="120" w:after="120" w:line="240" w:lineRule="auto"/>
        <w:rPr>
          <w:rFonts w:ascii="Times New Roman" w:hAnsi="Times New Roman" w:eastAsia="黑体"/>
          <w:b/>
          <w:sz w:val="30"/>
        </w:rPr>
      </w:pPr>
    </w:p>
    <w:p w14:paraId="453A8A57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3.3  优化器对比</w:t>
      </w:r>
    </w:p>
    <w:p w14:paraId="60E488A8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将Adam替换成SGD观察收敛速度</w:t>
      </w:r>
    </w:p>
    <w:p w14:paraId="0E212DEA">
      <w:pPr>
        <w:numPr>
          <w:ilvl w:val="0"/>
          <w:numId w:val="0"/>
        </w:num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在学习率等设置保持一致的本次实验中，Adam 前期准确率提升更快；SGD 的收敛较缓慢。该结果与优化器的自适应学习率机制有关，但公平比较还应分别调节学习率并重复多次实验。</w:t>
      </w:r>
    </w:p>
    <w:p w14:paraId="17E4CDC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相关操作或实验结果如图15所示。</w:t>
      </w:r>
    </w:p>
    <w:p w14:paraId="08BDAF13">
      <w:pPr>
        <w:jc w:val="center"/>
      </w:pPr>
      <w:r>
        <w:drawing>
          <wp:inline distT="0" distB="0" distL="114300" distR="114300">
            <wp:extent cx="4320000" cy="2964245"/>
            <wp:effectExtent l="0" t="0" r="8890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6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BD316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图15  Adam 优化器训练结果</w:t>
      </w:r>
    </w:p>
    <w:p w14:paraId="1ECEF5D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相关操作或实验结果如图16所示。</w:t>
      </w:r>
    </w:p>
    <w:p w14:paraId="68CE5F48">
      <w:pPr>
        <w:jc w:val="center"/>
      </w:pPr>
      <w:r>
        <w:drawing>
          <wp:inline distT="0" distB="0" distL="114300" distR="114300">
            <wp:extent cx="4320000" cy="3098233"/>
            <wp:effectExtent l="0" t="0" r="571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9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21E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图16  SGD 优化器训练结果</w:t>
      </w:r>
    </w:p>
    <w:p w14:paraId="3AF04650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本实验将优化器由 Adam 替换为 SGD，严格控制变量：数据集划分方式、网络结构、隐藏层神经元数量、最大训练轮数、随机种子保持一致，仅改变优化器类型与适配学习率。其中 Adam 学习率设置为 0.001，SGD 学习率设置为 0.01。SGD 优化器训练日志如图 12 所示，两种优化器量化对比结果如表 3 所示。</w:t>
      </w:r>
    </w:p>
    <w:p w14:paraId="2617B767">
      <w:p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&lt;center&gt;图12 SGD优化器训练日志&lt;/center&gt;&lt;center&gt;表3 Adam与SGD优化器实验量化对比&lt;/center&gt;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Adam与SGD优化器的量化对比结果见表2。</w:t>
      </w:r>
    </w:p>
    <w:p>
      <w:pPr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表2  Adam与SGD优化器对比</w:t>
      </w:r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896"/>
        <w:gridCol w:w="3488"/>
        <w:gridCol w:w="1978"/>
        <w:gridCol w:w="2097"/>
      </w:tblGrid>
      <w:tr w14:paraId="582BB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6E9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优化器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162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学习率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0D4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达到 97% 测试准确率所需 epoch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349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最终测试集准确率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2DE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5 轮训练总耗时 (s)</w:t>
            </w:r>
          </w:p>
        </w:tc>
      </w:tr>
      <w:tr w14:paraId="04C81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8D9C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Adam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1C44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99A9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7F21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7258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28</w:t>
            </w:r>
          </w:p>
        </w:tc>
      </w:tr>
      <w:tr w14:paraId="2837A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A53C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SGD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4081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219E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CCA5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97.12%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1636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27</w:t>
            </w:r>
          </w:p>
        </w:tc>
      </w:tr>
    </w:tbl>
    <w:p w14:paraId="66F24332">
      <w:pPr>
        <w:rPr>
          <w:rFonts w:ascii="宋体" w:hAnsi="宋体" w:eastAsia="宋体" w:cs="宋体"/>
          <w:sz w:val="24"/>
          <w:szCs w:val="24"/>
        </w:rPr>
      </w:pPr>
    </w:p>
    <w:p w14:paraId="1C43734A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表注：硬件环境为 CPU，最大训练轮数设置为 5，网络隐藏层神经元数量为 128，随机种子固定，数据集划分完全一致。</w:t>
      </w:r>
    </w:p>
    <w:p w14:paraId="28BC992E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由图 12 可见，SGD 初始损失为 2.3464，损失整体下降趋势平缓，下降速度慢于 Adam。结合表 3 分析：在收敛速度方面，Adam 仅需要 2 个 epoch 测试准确率即可达到 97%，而 SGD 训练至 5 轮结束才接近该精度，收敛速度明显更慢。Adam 融合一阶动量与二阶动量，具备自适应学习率特性，参数更新效率更高；SGD 仅依靠梯度信息更新参数，缺少自适应调节机制，收敛更平缓。在最终测试准确率上，5 轮训练结束后 Adam 测试准确率为 97.37%，SGD 为 97.12%，SGD 精度略低，说明在同等轮次限制下 SGD 无法充分收敛；若继续增加训练轮次，SGD 仍有机会逼近 Adam 的精度。在训练耗时上，二者单轮计算量接近，总耗时差距不大，但 SGD 需要更多迭代轮次才能达到同等精度，收敛效率更低。综上，Adam 收敛速度更快，可在较少轮次下取得理想精度；SGD 收敛缓慢，需要搭配更大的学习率以及更多训练轮次，才能够获得相近的泛化效果。</w:t>
      </w:r>
    </w:p>
    <w:p w14:paraId="7A868D41">
      <w:pPr>
        <w:pStyle w:val="3"/>
        <w:numPr>
          <w:ilvl w:val="0"/>
          <w:numId w:val="0"/>
        </w:numPr>
        <w:spacing w:before="120" w:after="120" w:line="240" w:lineRule="auto"/>
        <w:rPr>
          <w:rFonts w:ascii="Times New Roman" w:hAnsi="Times New Roman" w:eastAsia="黑体"/>
          <w:b/>
          <w:sz w:val="30"/>
        </w:rPr>
      </w:pPr>
    </w:p>
    <w:p w14:paraId="2FC2CC00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3.4  问题分析与解决方案</w:t>
      </w:r>
    </w:p>
    <w:p w14:paraId="2EB065BD">
      <w:pPr>
        <w:pStyle w:val="33"/>
        <w:numPr>
          <w:ilvl w:val="0"/>
          <w:numId w:val="0"/>
        </w:numPr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3.4.1  缺少绘图库</w:t>
      </w:r>
    </w:p>
    <w:p w14:paraId="1104329E">
      <w:pPr>
        <w:numPr>
          <w:ilvl w:val="0"/>
          <w:numId w:val="0"/>
        </w:num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当前 PyTorch Conda 环境缺少 matplotlib 库，绘图语句因而无法执行。</w:t>
      </w:r>
    </w:p>
    <w:p w14:paraId="147E6E3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相关操作或实验结果如图17所示。</w:t>
      </w:r>
    </w:p>
    <w:p w14:paraId="7BD99C13">
      <w:pPr>
        <w:jc w:val="center"/>
      </w:pPr>
      <w:r>
        <w:drawing>
          <wp:inline distT="0" distB="0" distL="114300" distR="114300">
            <wp:extent cx="4320000" cy="706136"/>
            <wp:effectExtent l="0" t="0" r="10795" b="508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0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2532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图17  缺少绘图库时的报错信息</w:t>
      </w:r>
    </w:p>
    <w:p w14:paraId="60BAD553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解决方法</w:t>
      </w:r>
    </w:p>
    <w:p w14:paraId="3C1B31D7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打开 Anaconda Prompt：</w:t>
      </w:r>
    </w:p>
    <w:p w14:paraId="53E56FA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Style w:val="21"/>
          <w:rFonts w:hint="default" w:ascii="Consolas" w:hAnsi="Consolas" w:eastAsia="Consolas" w:cs="Consolas"/>
        </w:rPr>
      </w:pPr>
      <w:r>
        <w:rPr>
          <w:rStyle w:val="21"/>
          <w:rFonts w:hint="default" w:ascii="Times New Roman" w:hAnsi="Times New Roman" w:eastAsia="宋体" w:cs="Consolas"/>
          <w:sz w:val="24"/>
        </w:rPr>
        <w:t>conda activate pytorch</w:t>
      </w:r>
    </w:p>
    <w:p w14:paraId="01F6664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Style w:val="21"/>
          <w:rFonts w:hint="default" w:ascii="Consolas" w:hAnsi="Consolas" w:eastAsia="Consolas" w:cs="Consolas"/>
        </w:rPr>
      </w:pPr>
      <w:r>
        <w:rPr>
          <w:rFonts w:ascii="Times New Roman" w:hAnsi="Times New Roman" w:eastAsia="宋体"/>
          <w:sz w:val="24"/>
        </w:rPr>
        <w:t>pip install matplotlib -i https://pypi.tuna.tsinghua.edu.cn/simple</w:t>
      </w:r>
    </w:p>
    <w:p w14:paraId="7BD4B2C9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激活正确环境后安装 matplotlib，即可恢复绘图功能。</w:t>
      </w:r>
    </w:p>
    <w:p w14:paraId="6283C270">
      <w:pPr>
        <w:pStyle w:val="33"/>
        <w:keepNext w:val="0"/>
        <w:keepLines w:val="0"/>
        <w:widowControl/>
        <w:suppressLineNumbers w:val="0"/>
        <w:spacing w:before="60" w:after="60"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3.4.2  数据保存路径错误</w:t>
      </w:r>
    </w:p>
    <w:p w14:paraId="3E52B284">
      <w:p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代码中写死了其他用户的目录 C:\Users\think，当前账户无法在该路径创建文件，因此出现路径不存在或权限被拒绝的错误。</w:t>
      </w:r>
    </w:p>
    <w:p w14:paraId="340D41C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相关操作或实验结果如图18所示。</w:t>
      </w:r>
    </w:p>
    <w:p w14:paraId="73A95C7C">
      <w:pPr>
        <w:jc w:val="center"/>
      </w:pPr>
      <w:r>
        <w:drawing>
          <wp:inline distT="0" distB="0" distL="114300" distR="114300">
            <wp:extent cx="4320000" cy="1395761"/>
            <wp:effectExtent l="0" t="0" r="13970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95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FC82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图18  数据路径不匹配导致的报错信息</w:t>
      </w:r>
    </w:p>
    <w:p w14:paraId="06193231">
      <w:pPr>
        <w:bidi w:val="0"/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解决方法</w:t>
      </w:r>
    </w:p>
    <w:p w14:paraId="77672D4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Consolas" w:hAnsi="Consolas" w:eastAsia="Consolas" w:cs="Consolas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将路径改成</w:t>
      </w:r>
      <w:r>
        <w:rPr>
          <w:rStyle w:val="21"/>
          <w:rFonts w:hint="default" w:ascii="Times New Roman" w:hAnsi="Times New Roman" w:eastAsia="宋体" w:cs="Consolas"/>
          <w:sz w:val="24"/>
        </w:rPr>
        <w:t>local_data_path = r"C:\Users\付镇远\PycharmProjects\PythonProject\DL_data"</w:t>
      </w:r>
    </w:p>
    <w:p w14:paraId="5E9EAC52">
      <w:pPr>
        <w:bidi w:val="0"/>
        <w:spacing w:before="0" w:after="0" w:line="360" w:lineRule="auto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即可解决</w:t>
      </w:r>
    </w:p>
    <w:p w14:paraId="0F2ADA8B">
      <w:pPr>
        <w:pStyle w:val="2"/>
        <w:numPr>
          <w:ilvl w:val="0"/>
          <w:numId w:val="2"/>
        </w:numPr>
        <w:spacing w:before="240" w:after="240" w:line="240" w:lineRule="auto"/>
        <w:ind w:leftChars="0"/>
      </w:pPr>
      <w:r>
        <w:rPr>
          <w:rFonts w:ascii="Times New Roman" w:hAnsi="Times New Roman" w:eastAsia="黑体"/>
          <w:b/>
          <w:sz w:val="44"/>
        </w:rPr>
        <w:t>4  检查点保存与继续训练</w:t>
      </w:r>
    </w:p>
    <w:p w14:paraId="7BF8AFE1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4.1  连续训练的基线结果</w:t>
      </w:r>
    </w:p>
    <w:p w14:paraId="57783EB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相关操作或实验结果如图19所示。</w:t>
      </w:r>
    </w:p>
    <w:p w14:paraId="090C35A4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320000" cy="1360835"/>
            <wp:effectExtent l="0" t="0" r="10795" b="508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6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58F7C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图19  连续训练的基线结果</w:t>
      </w:r>
    </w:p>
    <w:p w14:paraId="08D14361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4.2  从检查点恢复训练的结果</w:t>
      </w:r>
    </w:p>
    <w:p w14:paraId="123826D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相关操作或实验结果如图20所示。</w:t>
      </w:r>
    </w:p>
    <w:p w14:paraId="6D05636F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320000" cy="1426241"/>
            <wp:effectExtent l="0" t="0" r="5080" b="444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26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106A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图20  从检查点恢复训练的运行结果</w:t>
      </w:r>
    </w:p>
    <w:p w14:paraId="6C18C7D6">
      <w:pPr>
        <w:spacing w:before="0" w:after="0" w:line="360" w:lineRule="auto"/>
        <w:ind w:firstLine="480"/>
      </w:pPr>
      <w:r>
        <w:rPr>
          <w:rFonts w:ascii="Times New Roman" w:hAnsi="Times New Roman" w:eastAsia="宋体" w:cs="宋体"/>
          <w:sz w:val="24"/>
          <w:szCs w:val="24"/>
        </w:rPr>
        <w:t>本实验的 checkpoint 检查点文件内同时保存</w:t>
      </w:r>
      <w:r>
        <w:rPr>
          <w:rStyle w:val="21"/>
          <w:rFonts w:ascii="Times New Roman" w:hAnsi="Times New Roman" w:eastAsia="宋体" w:cs="宋体"/>
          <w:sz w:val="24"/>
          <w:szCs w:val="24"/>
        </w:rPr>
        <w:t>model_state_dict</w:t>
      </w:r>
      <w:r>
        <w:rPr>
          <w:rFonts w:ascii="Times New Roman" w:hAnsi="Times New Roman" w:eastAsia="宋体" w:cs="宋体"/>
          <w:sz w:val="24"/>
          <w:szCs w:val="24"/>
        </w:rPr>
        <w:t>、</w:t>
      </w:r>
      <w:r>
        <w:rPr>
          <w:rStyle w:val="21"/>
          <w:rFonts w:ascii="Times New Roman" w:hAnsi="Times New Roman" w:eastAsia="宋体" w:cs="宋体"/>
          <w:sz w:val="24"/>
          <w:szCs w:val="24"/>
        </w:rPr>
        <w:t>optimizer_state_dict</w:t>
      </w:r>
      <w:r>
        <w:rPr>
          <w:rFonts w:ascii="Times New Roman" w:hAnsi="Times New Roman" w:eastAsia="宋体" w:cs="宋体"/>
          <w:sz w:val="24"/>
          <w:szCs w:val="24"/>
        </w:rPr>
        <w:t>以及 epoch 信息。其中</w:t>
      </w:r>
      <w:r>
        <w:rPr>
          <w:rStyle w:val="21"/>
          <w:rFonts w:ascii="Times New Roman" w:hAnsi="Times New Roman" w:eastAsia="宋体" w:cs="宋体"/>
          <w:sz w:val="24"/>
          <w:szCs w:val="24"/>
        </w:rPr>
        <w:t>model_state_dict</w:t>
      </w:r>
      <w:r>
        <w:rPr>
          <w:rFonts w:ascii="Times New Roman" w:hAnsi="Times New Roman" w:eastAsia="宋体" w:cs="宋体"/>
          <w:sz w:val="24"/>
          <w:szCs w:val="24"/>
        </w:rPr>
        <w:t>存储模型权重参数，</w:t>
      </w:r>
      <w:r>
        <w:rPr>
          <w:rStyle w:val="21"/>
          <w:rFonts w:ascii="Times New Roman" w:hAnsi="Times New Roman" w:eastAsia="宋体" w:cs="宋体"/>
          <w:sz w:val="24"/>
          <w:szCs w:val="24"/>
        </w:rPr>
        <w:t>optimizer_state_dict</w:t>
      </w:r>
      <w:r>
        <w:rPr>
          <w:rFonts w:ascii="Times New Roman" w:hAnsi="Times New Roman" w:eastAsia="宋体" w:cs="宋体"/>
          <w:sz w:val="24"/>
          <w:szCs w:val="24"/>
        </w:rPr>
        <w:t>存储优化器内部状态，epoch 记录当前训练轮次，保证恢复训练时模型、优化器状态与训练进度完整承接。 由图 20 可知，第 5 轮训练结束保存断点时，损失为 178.4466；加载该断点恢复后，第 6 轮损失会在 178.4466 基础上继续下降，不会跳回首轮 544.2715 的初始损失。损失平滑连续下降，不存在从头训练时的损失跳变，证明训练是从断点位置接续执行，而不是参数初始化后重新开始训练。若仅保存模型权重、不保存优化器状态，带动量的优化器将丢失动量信息，续训的收敛特性会发生改变。</w:t>
      </w:r>
    </w:p>
    <w:p w14:paraId="23BEC59A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5  CNN 手写数字识别</w:t>
      </w:r>
    </w:p>
    <w:p w14:paraId="77CB24A2">
      <w:pPr>
        <w:pStyle w:val="3"/>
        <w:spacing w:before="120" w:after="120" w:line="240" w:lineRule="auto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5.1  CNN 运行结果</w:t>
      </w:r>
    </w:p>
    <w:p w14:paraId="1560EF3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相关操作或实验结果如图21所示。</w:t>
      </w:r>
    </w:p>
    <w:p w14:paraId="17BB4857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320000" cy="2878518"/>
            <wp:effectExtent l="0" t="0" r="8255" b="762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78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5E49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图21  CNN 手写数字识别训练结果</w:t>
      </w:r>
    </w:p>
    <w:p w14:paraId="04D471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相关操作或实验结果如图22所示。</w:t>
      </w:r>
    </w:p>
    <w:p w14:paraId="20155732">
      <w:pPr>
        <w:jc w:val="center"/>
      </w:pPr>
      <w:r>
        <w:drawing>
          <wp:inline distT="0" distB="0" distL="114300" distR="114300">
            <wp:extent cx="4320000" cy="2475919"/>
            <wp:effectExtent l="0" t="0" r="9525" b="1270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75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B28D2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图22  CNN 手写数字识别准确率曲线</w:t>
      </w:r>
    </w:p>
    <w:p w14:paraId="547E2503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 w:eastAsia="宋体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5.2  课堂练习分析</w:t>
      </w:r>
    </w:p>
    <w:p w14:paraId="4C44AF10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24"/>
        </w:rPr>
        <w:t>5.2.1  哪些语句实现图像张量化？</w:t>
      </w:r>
    </w:p>
    <w:p w14:paraId="22A5DFA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Style w:val="21"/>
          <w:rFonts w:ascii="Times New Roman" w:hAnsi="Times New Roman" w:eastAsia="宋体" w:cs="宋体"/>
          <w:sz w:val="24"/>
          <w:szCs w:val="24"/>
        </w:rPr>
        <w:t>transforms.ToTensor()</w:t>
      </w:r>
      <w:r>
        <w:rPr>
          <w:rFonts w:ascii="Times New Roman" w:hAnsi="Times New Roman" w:eastAsia="宋体" w:cs="宋体"/>
          <w:sz w:val="24"/>
          <w:szCs w:val="24"/>
        </w:rPr>
        <w:t>实现将图像转化为张量，它会把图片转为张量，像素值从 0~255 缩放到 0~1，同时调整维度顺序，适配 CNN 网络输入格式。</w:t>
      </w:r>
    </w:p>
    <w:p w14:paraId="43B87A85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黑体"/>
          <w:b/>
          <w:sz w:val="24"/>
        </w:rPr>
        <w:t>5.2.2  卷积核数量减半对准确率的影响</w:t>
      </w:r>
    </w:p>
    <w:p w14:paraId="4EAE6BE0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将卷积核数量由 32/64 减为 16/32 会减少参数量和计算量，通常可加快训练，但也降低特征表达容量。准确率是否下降应以相同数据划分、随机种子和训练轮数下的实测结果为准；容量不足时更容易欠拟合。</w:t>
      </w:r>
    </w:p>
    <w:p w14:paraId="5F4A90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相关操作或实验结果如图23所示。</w:t>
      </w:r>
    </w:p>
    <w:p w14:paraId="6D5B07FC">
      <w:pPr>
        <w:numPr>
          <w:ilvl w:val="0"/>
          <w:numId w:val="0"/>
        </w:numPr>
        <w:bidi w:val="0"/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4320000" cy="2764851"/>
            <wp:effectExtent l="0" t="0" r="5715" b="889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6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BFCE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图23  卷积核数量调整后的训练结果</w:t>
      </w:r>
    </w:p>
    <w:p w14:paraId="7B0AA09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相关操作或实验结果如图24所示。</w:t>
      </w:r>
    </w:p>
    <w:p w14:paraId="3F9FD5D8">
      <w:pPr>
        <w:jc w:val="center"/>
      </w:pPr>
      <w:r>
        <w:drawing>
          <wp:inline distT="0" distB="0" distL="114300" distR="114300">
            <wp:extent cx="4320000" cy="2699444"/>
            <wp:effectExtent l="0" t="0" r="0" b="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9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570C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图24  卷积核数量调整后的准确率曲线</w:t>
      </w:r>
    </w:p>
    <w:p w14:paraId="44E161E4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24"/>
        </w:rPr>
        <w:t>5.2.3  移除 Dropout 的影响</w:t>
      </w:r>
    </w:p>
    <w:p w14:paraId="5875C232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去掉 Dropout 后，训练阶段不再进行随机失活，训练集拟合通常更充分，但正则化作用减弱，过拟合风险增加。是否影响测试准确率及影响幅度需结合训练集与测试集曲线判断。</w:t>
      </w:r>
    </w:p>
    <w:p w14:paraId="10AF606C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24"/>
        </w:rPr>
        <w:t>5.2.4  增加第三个卷积层的影响</w:t>
      </w:r>
    </w:p>
    <w:p w14:paraId="6EEAD5D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相关操作或实验结果如图25所示。</w:t>
      </w:r>
    </w:p>
    <w:p w14:paraId="3CCEE3F8">
      <w:pPr>
        <w:jc w:val="center"/>
      </w:pPr>
      <w:r>
        <w:drawing>
          <wp:inline distT="0" distB="0" distL="114300" distR="114300">
            <wp:extent cx="4320000" cy="2698809"/>
            <wp:effectExtent l="0" t="0" r="8255" b="1016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8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0792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图25  移除 Dropout 后的训练结果</w:t>
      </w:r>
    </w:p>
    <w:p w14:paraId="71EB75B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相关操作或实验结果如图26所示。</w:t>
      </w:r>
    </w:p>
    <w:p w14:paraId="3E75EDCF">
      <w:pPr>
        <w:jc w:val="center"/>
      </w:pPr>
      <w:r>
        <w:drawing>
          <wp:inline distT="0" distB="0" distL="114300" distR="114300">
            <wp:extent cx="4320000" cy="2357172"/>
            <wp:effectExtent l="0" t="0" r="0" b="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7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290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图26  移除 Dropout 后的准确率曲线</w:t>
      </w:r>
    </w:p>
    <w:p w14:paraId="77795FF1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增加第 3 个卷积层可扩大模型容量并提取更高层特征，但 MNIST 图像结构较简单，新增层未必带来明显收益。结果还受到卷积核大小、池化方式、学习率和训练轮数影响，应通过对照实验判断。</w:t>
      </w:r>
    </w:p>
    <w:p w14:paraId="500D593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相关操作或实验结果如图27所示。</w:t>
      </w:r>
    </w:p>
    <w:p w14:paraId="4F9A5442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320000" cy="2603557"/>
            <wp:effectExtent l="0" t="0" r="5080" b="254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0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34DD8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图27  增加第三个卷积层后的训练结果</w:t>
      </w:r>
    </w:p>
    <w:p w14:paraId="69A4A1E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相关操作或实验结果如图28所示。</w:t>
      </w:r>
    </w:p>
    <w:p w14:paraId="65AC3084">
      <w:pPr>
        <w:jc w:val="center"/>
      </w:pPr>
      <w:r>
        <w:drawing>
          <wp:inline distT="0" distB="0" distL="114300" distR="114300">
            <wp:extent cx="4320000" cy="2536881"/>
            <wp:effectExtent l="0" t="0" r="0" b="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36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14CA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图28  增加第三个卷积层后的准确率曲线</w:t>
      </w:r>
    </w:p>
    <w:p w14:paraId="46BF1C12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本次设置四组对照实验，仅调整卷积核数量、Dropout 层以及卷积层数，其余训练条件保持一致。基线组卷积核为 32/64、包含 Dropout，测试准确率 98.88%；卷积核改为 16/32 后，模型参数量减少，测试准确率 98.92%；移除 Dropout 层后，测试准确率 98.93%；增加第三个卷积层后，模型参数量提升，测试准确率达到 99.31%，为四组中最高。</w:t>
      </w:r>
    </w:p>
    <w:p w14:paraId="3ACDDA4D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对比实验结果可知：减少卷积核数量，模型参数量下降，训练速度更快，在本数据集上测试精度小幅波动；移除 Dropout 后正则约束消失，训练更容易拟合，测试准确率变化不大；增加卷积层能够提升特征提取能力，模型最终测试效果最优。总体来看，增加网络深度对识别精度提升效果明显，Dropout 起到抑制过拟合的作用，卷积通道数减少可降低计算开销。</w:t>
      </w:r>
    </w:p>
    <w:p w14:paraId="25961E2B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6  猫狗图像识别</w:t>
      </w:r>
    </w:p>
    <w:p w14:paraId="5D7EDE33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ascii="Times New Roman" w:hAnsi="Times New Roman" w:eastAsia="黑体"/>
          <w:b/>
          <w:sz w:val="30"/>
        </w:rPr>
      </w:pPr>
      <w:r>
        <w:rPr>
          <w:rFonts w:ascii="Times New Roman" w:hAnsi="Times New Roman" w:eastAsia="黑体"/>
          <w:b/>
          <w:sz w:val="30"/>
        </w:rPr>
        <w:t>6.1  运行结果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相关操作或实验结果如图29所示。</w:t>
      </w:r>
    </w:p>
    <w:p w14:paraId="65B77D60">
      <w:pPr>
        <w:pStyle w:val="4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20000" cy="2256951"/>
            <wp:effectExtent l="0" t="0" r="127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569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4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图29  猫狗识别模型的 PyCharm 运行输出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相关操作或实验结果如图30所示。</w:t>
      </w:r>
    </w:p>
    <w:p>
      <w:pPr>
        <w:jc w:val="center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20000" cy="1775133"/>
            <wp:effectExtent l="0" t="0" r="7620" b="1905"/>
            <wp:docPr id="3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751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4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图30  猫狗识别训练损失与准确率曲线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相关操作或实验结果如图31所示。</w:t>
      </w:r>
    </w:p>
    <w:p>
      <w:pPr>
        <w:jc w:val="center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20000" cy="3747366"/>
            <wp:effectExtent l="0" t="0" r="4445" b="13335"/>
            <wp:docPr id="5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473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4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图31  猫狗识别测试集混淆矩阵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相关操作或实验结果如图32所示。</w:t>
      </w:r>
    </w:p>
    <w:p>
      <w:pPr>
        <w:jc w:val="center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20000" cy="2339164"/>
            <wp:effectExtent l="0" t="0" r="5080" b="12065"/>
            <wp:docPr id="6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391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4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图32  猫狗识别测试集预测样例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黑体"/>
          <w:b/>
          <w:sz w:val="24"/>
        </w:rPr>
        <w:t>6.1.1  实验设置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本实验使用8005张训练图片和2023张测试图片，其中训练集包含4000张猫、4005张狗，测试集包含1011张猫、1012张狗。模型由4个卷积层和3个全连接层组成，输入图像统一缩放为96×96，批大小为64，使用Adam优化器，学习率为0.001，共训练10轮。为适应CPU环境，卷积通道数依次设置为16、32、64和128，模型总参数量为1,212,930。完整运行输出和训练曲线分别如图29和图30所示。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黑体"/>
          <w:b/>
          <w:sz w:val="24"/>
        </w:rPr>
        <w:t>6.1.2  实验结果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训练10轮总用时为431.3秒。第10轮取得最佳结果：训练集准确率为88.71%，测试集准确率为88.24%，测试集交叉熵损失为0.3025。训练准确率与测试准确率仅相差0.47个百分点，未表现出明显的过拟合。图30显示训练损失总体下降，测试准确率虽有阶段性波动，但整体呈上升趋势。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黑体"/>
          <w:b/>
          <w:sz w:val="24"/>
        </w:rPr>
        <w:t>6.1.3  混淆矩阵与误分类分析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测试集混淆矩阵如图31所示。在1011张猫图片中，892张识别正确、119张被误判为狗；在1012张狗图片中，893张识别正确、119张被误判为猫。猫和狗的召回率分别约为88.23%和88.24%，两类识别能力较为均衡，说明总体准确率并非由类别不平衡造成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预测样例如图32所示。正确样例通常具有清晰的主体轮廓；误分类样例中存在复杂背景、遮挡、姿态变化或目标占比较小等情况。两张误判猫图片的预测置信度约为50.4%和72.8%，说明模型对这些边界样本的判别仍不稳定。后续可采用更丰富的数据增强、提高输入分辨率或使用预训练模型改善特征表达能力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猫狗识别实验的主要量化结果见表3。</w:t>
      </w:r>
    </w:p>
    <w:p>
      <w:pPr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表3  猫狗识别实验结果汇总</w:t>
      </w:r>
    </w:p>
    <w:tbl>
      <w:tblPr>
        <w:tblStyle w:val="16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实验结果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模型参数量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1,212,930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训练轮数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训练总时间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431.3 s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最佳训练集准确率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88.71%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最佳测试集准确率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88.24%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最佳测试集损失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0.3025</w:t>
            </w:r>
          </w:p>
        </w:tc>
      </w:tr>
    </w:tbl>
    <w:p w14:paraId="2FCCC0CD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6.2  问题分析与解决方案</w:t>
      </w:r>
    </w:p>
    <w:p w14:paraId="03526560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6.2.1  数据路径配置错误</w:t>
      </w:r>
    </w:p>
    <w:p w14:paraId="338D076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相关操作或实验结果如图33所示。</w:t>
      </w:r>
    </w:p>
    <w:p w14:paraId="604518E0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320000" cy="889655"/>
            <wp:effectExtent l="0" t="0" r="6985" b="1143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6A816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图33  猫狗识别中的数据路径错误</w:t>
      </w:r>
    </w:p>
    <w:p w14:paraId="1761B55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解决方法</w:t>
      </w:r>
    </w:p>
    <w:p w14:paraId="770FA24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将数据路径改为本机实际保存位置，并确认该目录存在且当前账户具有读取权限。</w:t>
      </w:r>
    </w:p>
    <w:p w14:paraId="085E2C4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相关操作或实验结果如图34所示。</w:t>
      </w:r>
    </w:p>
    <w:p w14:paraId="443251A7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320000" cy="859174"/>
            <wp:effectExtent l="0" t="0" r="7620" b="762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59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AD7B8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图34  路径修正后的原始程序运行结果</w:t>
      </w:r>
    </w:p>
    <w:p w14:paraId="420591EB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7  VGG16 迁移学习</w:t>
      </w:r>
    </w:p>
    <w:p w14:paraId="2D23B116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7.1  VGG16 运行结果</w:t>
      </w:r>
    </w:p>
    <w:p w14:paraId="094538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相关操作或实验结果如图35所示。</w:t>
      </w:r>
    </w:p>
    <w:p w14:paraId="7EC60258">
      <w:pPr>
        <w:jc w:val="center"/>
      </w:pPr>
      <w:r>
        <w:drawing>
          <wp:inline distT="0" distB="0" distL="114300" distR="114300">
            <wp:extent cx="4320000" cy="2067605"/>
            <wp:effectExtent l="0" t="0" r="6350" b="8255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6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7A5E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图35  VGG16 迁移学习训练过程</w:t>
      </w:r>
    </w:p>
    <w:p w14:paraId="71DA198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相关操作或实验结果如图36所示。</w:t>
      </w:r>
    </w:p>
    <w:p w14:paraId="4DC2E09C">
      <w:pPr>
        <w:jc w:val="center"/>
      </w:pPr>
      <w:r>
        <w:drawing>
          <wp:inline distT="0" distB="0" distL="114300" distR="114300">
            <wp:extent cx="4320000" cy="4719424"/>
            <wp:effectExtent l="0" t="0" r="7620" b="7620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19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2D12A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图36  VGG16 迁移学习损失曲线</w:t>
      </w:r>
    </w:p>
    <w:p w14:paraId="70E0CB7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相关操作或实验结果如图37所示。</w:t>
      </w:r>
    </w:p>
    <w:p w14:paraId="73E8B7BC">
      <w:pPr>
        <w:jc w:val="center"/>
      </w:pPr>
      <w:r>
        <w:drawing>
          <wp:inline distT="0" distB="0" distL="114300" distR="114300">
            <wp:extent cx="4320000" cy="3669746"/>
            <wp:effectExtent l="0" t="0" r="7620" b="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69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1D09C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图37  VGG16 猫狗识别结果</w:t>
      </w:r>
    </w:p>
    <w:p w14:paraId="419A811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B1D05">
      <w:pPr>
        <w:pStyle w:val="3"/>
        <w:spacing w:before="120" w:after="120" w:line="240" w:lineRule="auto"/>
        <w:rPr>
          <w:rFonts w:hint="eastAsia"/>
        </w:rPr>
      </w:pPr>
      <w:r>
        <w:rPr>
          <w:rFonts w:ascii="Times New Roman" w:hAnsi="Times New Roman" w:eastAsia="黑体"/>
          <w:b/>
          <w:sz w:val="30"/>
        </w:rPr>
        <w:t>7.2  VGG16 微调与从零训练 CNN 的比较</w:t>
      </w:r>
    </w:p>
    <w:p w14:paraId="62907E14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本次VGG16迁移学习训练3轮，最终训练平均损失为0.0401，测试准确率为99.01%。第6章从零训练CNN共训练10轮，参数量为1,212,930，训练时间为431.3秒，测试损失为0.3025，测试准确率为88.24%。在当前实验结果中，VGG16借助ImageNet预训练特征，以更少轮次获得了更高测试准确率，体现了迁移学习在中小规模数据集上的优势。</w:t>
      </w:r>
    </w:p>
    <w:p w14:paraId="078CCC78">
      <w:pPr>
        <w:spacing w:before="80" w:after="120" w:line="300" w:lineRule="auto"/>
      </w:pPr>
      <w:r>
        <w:rPr>
          <w:rFonts w:ascii="Times New Roman" w:hAnsi="Times New Roman" w:eastAsia="宋体"/>
          <w:b/>
          <w:color w:val="C00000"/>
          <w:sz w:val="21"/>
          <w:highlight w:val="yellow"/>
        </w:rPr>
        <w:t>【待补充/核对】若要完成严格的VGG16与普通CNN效率比较，还需补充VGG16的参数量和训练总时间，并确认两者使用完全相同的数据划分、输入预处理和评价口径。</w:t>
      </w:r>
    </w:p>
    <w:p w14:paraId="3E47E819">
      <w:pPr>
        <w:pStyle w:val="2"/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8  VGG16 特征可视化</w:t>
      </w:r>
    </w:p>
    <w:p w14:paraId="682FB658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8.1  浅层卷积特征图</w:t>
      </w:r>
    </w:p>
    <w:p w14:paraId="4E8966B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特点：尺寸和原图接近，只凸显边缘、线条、轮廓、纹理；和原图结构相似，只能看到基础的线条信息，看不出猫、狗这种物体。</w:t>
      </w:r>
    </w:p>
    <w:p w14:paraId="4AE9EFB0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38BDFE30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ab/>
      </w:r>
      <w:r>
        <w:rPr>
          <w:rFonts w:hint="eastAsia" w:ascii="Times New Roman" w:hAnsi="Times New Roman" w:eastAsia="宋体"/>
          <w:sz w:val="24"/>
          <w:lang w:val="en-US" w:eastAsia="zh-CN"/>
        </w:rPr>
        <w:t>对比图</w:t>
      </w:r>
    </w:p>
    <w:p w14:paraId="35EC379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相关操作或实验结果如图38所示。</w:t>
      </w:r>
    </w:p>
    <w:p w14:paraId="60CD9137">
      <w:pPr>
        <w:jc w:val="center"/>
      </w:pPr>
      <w:r>
        <w:drawing>
          <wp:inline distT="0" distB="0" distL="114300" distR="114300">
            <wp:extent cx="4320000" cy="3239841"/>
            <wp:effectExtent l="0" t="0" r="5715" b="3810"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0597C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图38  VGG16 输入原图</w:t>
      </w:r>
    </w:p>
    <w:p w14:paraId="6D3F3E2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相关操作或实验结果如图39所示。</w:t>
      </w:r>
    </w:p>
    <w:p w14:paraId="634B1584">
      <w:pPr>
        <w:jc w:val="center"/>
      </w:pPr>
      <w:r>
        <w:drawing>
          <wp:inline distT="0" distB="0" distL="114300" distR="114300">
            <wp:extent cx="4320000" cy="3239841"/>
            <wp:effectExtent l="0" t="0" r="13970" b="6350"/>
            <wp:docPr id="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FD68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图39  VGG16 浅层卷积特征图</w:t>
      </w:r>
    </w:p>
    <w:p w14:paraId="10F7FBF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相关操作或实验结果如图40所示。</w:t>
      </w:r>
    </w:p>
    <w:p w14:paraId="536051E1">
      <w:pPr>
        <w:jc w:val="center"/>
      </w:pPr>
      <w:r>
        <w:drawing>
          <wp:inline distT="0" distB="0" distL="114300" distR="114300">
            <wp:extent cx="4320000" cy="3239841"/>
            <wp:effectExtent l="0" t="0" r="6350" b="12065"/>
            <wp:docPr id="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E360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图40  浅层卷积特征与原图对比</w:t>
      </w:r>
    </w:p>
    <w:p w14:paraId="5E95D102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8.2  深层特征图</w:t>
      </w:r>
    </w:p>
    <w:p w14:paraId="3E73DC8B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经过多次卷积 + 池化，分辨率变得很小（7×7）；图上是离散的激活色块，已经完全看不出图像轮廓，提取的是抽象语义特征。</w:t>
      </w:r>
    </w:p>
    <w:p w14:paraId="2D321DC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相关操作或实验结果如图41所示。</w:t>
      </w:r>
    </w:p>
    <w:p w14:paraId="38A985F5">
      <w:pPr>
        <w:tabs>
          <w:tab w:val="left" w:pos="3167"/>
        </w:tabs>
        <w:bidi w:val="0"/>
        <w:jc w:val="center"/>
      </w:pPr>
      <w:r>
        <w:drawing>
          <wp:inline distT="0" distB="0" distL="114300" distR="114300">
            <wp:extent cx="4320000" cy="3239841"/>
            <wp:effectExtent l="0" t="0" r="5715" b="12065"/>
            <wp:docPr id="4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8C8C6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图41  VGG16 深层特征图（一）</w:t>
      </w:r>
    </w:p>
    <w:p w14:paraId="10ABEC1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相关操作或实验结果如图42所示。</w:t>
      </w:r>
    </w:p>
    <w:p w14:paraId="2401E1AA">
      <w:pPr>
        <w:jc w:val="center"/>
      </w:pPr>
      <w:r>
        <w:drawing>
          <wp:inline distT="0" distB="0" distL="114300" distR="114300">
            <wp:extent cx="4320000" cy="3239841"/>
            <wp:effectExtent l="0" t="0" r="13335" b="9525"/>
            <wp:docPr id="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3C77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图42  VGG16 深层特征图（二）</w:t>
      </w:r>
    </w:p>
    <w:p w14:paraId="03203CA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相关操作或实验结果如图43所示。</w:t>
      </w:r>
    </w:p>
    <w:p w14:paraId="5F85473D">
      <w:pPr>
        <w:jc w:val="center"/>
      </w:pPr>
      <w:r>
        <w:drawing>
          <wp:inline distT="0" distB="0" distL="114300" distR="114300">
            <wp:extent cx="4320000" cy="3239841"/>
            <wp:effectExtent l="0" t="0" r="10160" b="7620"/>
            <wp:docPr id="4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0CAA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图43  VGG16 深层特征图（三）</w:t>
      </w:r>
    </w:p>
    <w:p w14:paraId="5BA74EE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相关操作或实验结果如图44所示。</w:t>
      </w:r>
    </w:p>
    <w:p w14:paraId="273841DE">
      <w:pPr>
        <w:jc w:val="center"/>
      </w:pPr>
      <w:r>
        <w:drawing>
          <wp:inline distT="0" distB="0" distL="114300" distR="114300">
            <wp:extent cx="4320000" cy="3239841"/>
            <wp:effectExtent l="0" t="0" r="5715" b="3810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B9F44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图44  VGG16 深层特征图（四）</w:t>
      </w:r>
    </w:p>
    <w:p w14:paraId="228C04A5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8.3  Grad-CAM 热力图</w:t>
      </w:r>
    </w:p>
    <w:p w14:paraId="58E7DC16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上采样放大后的热力图，代表网络激活区域。</w:t>
      </w:r>
    </w:p>
    <w:p w14:paraId="10A64FA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相关操作或实验结果如图45所示。</w:t>
      </w:r>
    </w:p>
    <w:p w14:paraId="36219094">
      <w:pPr>
        <w:tabs>
          <w:tab w:val="left" w:pos="3167"/>
        </w:tabs>
        <w:bidi w:val="0"/>
        <w:jc w:val="center"/>
      </w:pPr>
      <w:r>
        <w:drawing>
          <wp:inline distT="0" distB="0" distL="114300" distR="114300">
            <wp:extent cx="4320000" cy="3239841"/>
            <wp:effectExtent l="0" t="0" r="13970" b="13970"/>
            <wp:docPr id="4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AF4C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图45  Grad-CAM 热力图</w:t>
      </w:r>
    </w:p>
    <w:p w14:paraId="71326860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8.4  热力图与原图叠加</w:t>
      </w:r>
    </w:p>
    <w:p w14:paraId="3B2B5B53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热力图叠加在原始图片上，直观展示模型重点关注区域</w:t>
      </w:r>
    </w:p>
    <w:p w14:paraId="1C433AD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相关操作或实验结果如图46所示。</w:t>
      </w:r>
    </w:p>
    <w:p w14:paraId="7F630716">
      <w:pPr>
        <w:tabs>
          <w:tab w:val="left" w:pos="3167"/>
        </w:tabs>
        <w:bidi w:val="0"/>
        <w:jc w:val="center"/>
      </w:pPr>
      <w:r>
        <w:drawing>
          <wp:inline distT="0" distB="0" distL="114300" distR="114300">
            <wp:extent cx="4320000" cy="3239841"/>
            <wp:effectExtent l="0" t="0" r="6350" b="8890"/>
            <wp:docPr id="4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8FD01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图46  Grad-CAM 热力图与原图叠加结果</w:t>
      </w:r>
    </w:p>
    <w:p w14:paraId="3DBC4DAD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30"/>
        </w:rPr>
        <w:t>8.5  类别激活结果分析</w:t>
      </w:r>
    </w:p>
    <w:p w14:paraId="75B62BD0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1. 生成的 CAM 热力叠加图中，高亮暖色区域集中在图片中目标物体（猫 / 狗）本体位置，而背景（地板、墙面）大多是蓝色冷色。</w:t>
      </w:r>
    </w:p>
    <w:p w14:paraId="7593B1D5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2. 说明 VGG16 做图像分类时，不是随机看整张图片，主要依靠目标物体本体的特征来输出分类结果，背景干扰信息对分类的贡献较低。</w:t>
      </w:r>
    </w:p>
    <w:p w14:paraId="665E729A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3. 对比前面单独看某一个通道的特征图：单独通道只能看到某一类局部特征；CAM 是所有通道按分类重要性加权后的综合结果，直接体现对分类起决定性作用的图像位置。</w:t>
      </w:r>
    </w:p>
    <w:p w14:paraId="5DB734AE">
      <w:pPr>
        <w:tabs>
          <w:tab w:val="left" w:pos="3167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A6F9ED">
      <w:pPr>
        <w:tabs>
          <w:tab w:val="left" w:pos="3167"/>
        </w:tabs>
        <w:bidi w:val="0"/>
        <w:jc w:val="left"/>
        <w:rPr>
          <w:rFonts w:hint="eastAsia"/>
          <w:lang w:val="en-US" w:eastAsia="zh-CN"/>
        </w:rPr>
      </w:pPr>
    </w:p>
    <w:p w14:paraId="098149C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相关操作或实验结果如图47所示。</w:t>
      </w:r>
    </w:p>
    <w:p w14:paraId="5123D05F">
      <w:pPr>
        <w:jc w:val="center"/>
      </w:pPr>
      <w:r>
        <w:drawing>
          <wp:inline distT="0" distB="0" distL="0" distR="0">
            <wp:extent cx="4320000" cy="3239841"/>
            <wp:effectExtent l="0" t="0" r="5080" b="3175"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F1A1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图47  VGG16 类别激活可视化结果</w:t>
      </w:r>
    </w:p>
    <w:p w14:paraId="456C8778">
      <w:pPr>
        <w:pStyle w:val="2"/>
        <w:bidi w:val="0"/>
        <w:spacing w:before="240" w:after="240" w:line="240" w:lineRule="auto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9  电力负荷预测中的特征工程</w:t>
      </w:r>
    </w:p>
    <w:p w14:paraId="0A400A68">
      <w:pPr>
        <w:rPr>
          <w:rFonts w:hint="eastAsia"/>
          <w:lang w:val="en-US" w:eastAsia="zh-CN"/>
        </w:rPr>
      </w:pPr>
    </w:p>
    <w:p w14:paraId="6B3F2A49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9.1  基线特征模型</w:t>
      </w:r>
    </w:p>
    <w:p w14:paraId="3E4E8C5F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运行代码结果</w:t>
      </w:r>
    </w:p>
    <w:p w14:paraId="26E4C5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相关操作或实验结果如图48所示。</w:t>
      </w:r>
    </w:p>
    <w:p w14:paraId="66D84BB1">
      <w:pPr>
        <w:jc w:val="center"/>
      </w:pPr>
      <w:r>
        <w:drawing>
          <wp:inline distT="0" distB="0" distL="114300" distR="114300">
            <wp:extent cx="4320000" cy="2129837"/>
            <wp:effectExtent l="0" t="0" r="762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29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70942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图48  基线特征模型的预测结果</w:t>
      </w:r>
    </w:p>
    <w:p w14:paraId="40E15CE2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9.2  人工构造滞后与统计特征</w:t>
      </w:r>
    </w:p>
    <w:p w14:paraId="4BE7EBA2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代码运行结果</w:t>
      </w:r>
    </w:p>
    <w:p w14:paraId="547CDF15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基线模型仅使用月份、星期、季节和是否周末等日历类别特征，并由 Embedding 与 MLP 学习非线性关系；它未显式利用历史负荷信息。</w:t>
      </w:r>
    </w:p>
    <w:p w14:paraId="5314C67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相关操作或实验结果如图49所示。</w:t>
      </w:r>
    </w:p>
    <w:p w14:paraId="64DC3D04">
      <w:pPr>
        <w:jc w:val="center"/>
      </w:pPr>
      <w:r>
        <w:drawing>
          <wp:inline distT="0" distB="0" distL="114300" distR="114300">
            <wp:extent cx="4320000" cy="2798507"/>
            <wp:effectExtent l="0" t="0" r="6350" b="8890"/>
            <wp:docPr id="6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98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4AA1C">
      <w:pPr>
        <w:pStyle w:val="34"/>
        <w:spacing w:before="6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图49  加入滞后与统计特征后的预测结果</w:t>
      </w:r>
    </w:p>
    <w:p w14:paraId="4DBE5A3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相关操作或实验结果如图50所示。</w:t>
      </w:r>
    </w:p>
    <w:p w14:paraId="070F91B2">
      <w:pPr>
        <w:pStyle w:val="34"/>
        <w:spacing w:before="60" w:after="120" w:line="240" w:lineRule="auto"/>
        <w:jc w:val="center"/>
        <w:rPr>
          <w:rFonts w:ascii="Times New Roman" w:hAnsi="Times New Roman" w:eastAsia="宋体"/>
          <w:sz w:val="21"/>
        </w:rPr>
      </w:pPr>
      <w:r>
        <w:drawing>
          <wp:inline distT="0" distB="0" distL="114300" distR="114300">
            <wp:extent cx="4320000" cy="1988864"/>
            <wp:effectExtent l="0" t="0" r="762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8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6769D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图50  加入滞后与统计特征后的测试指标</w:t>
      </w:r>
    </w:p>
    <w:p w14:paraId="7F72B7A0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基线模型未引入历史负荷特征，仅采用月份、星期、季节、是否周末日历特征，由图48 可得测试集指标：RMSE=1.0341，MAE=0.9522。在保持实验条件一致的前提下，引入滞后负荷、滑动均值、负荷差值等时序特征后，由图49 可得测试集指标：RMSE=1.0194，MAE=0.9363。 本实验采用时序顺序划分数据集，按照时间先后顺序将全部数据前 80% 划分为训练集，后 20% 作为测试集，全程不采用随机打乱划分方式，规避时序数据泄露问题。对比结果可见，增加历史时序特征后模型 RMSE 与 MAE 均有所下降，预测精度得到小幅提升。</w:t>
      </w:r>
    </w:p>
    <w:p>
      <w:r>
        <w:rPr>
          <w:rFonts w:ascii="Times New Roman" w:hAnsi="Times New Roman" w:eastAsia="宋体"/>
          <w:sz w:val="24"/>
        </w:rPr>
        <w:t>代码复核发现，原始写法 Delta_1 = Load - Lag_1 在构造当天输入时使用了当天真实负荷，会造成目标泄漏。统一复现实验将其修正为 Delta_1 = Lag_1 - Lag_2，即“昨日负荷减前日负荷”，使所有输入在预测时均可获得。连续特征和目标值的标准化参数仅由训练集拟合，再应用于测试集。</w:t>
      </w:r>
    </w:p>
    <w:p w14:paraId="33AF79BE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改进模型在日历特征之外加入昨日负荷、上周同期负荷、过去三天平均负荷和近期变化量。严格来说，这些属于人工构造的滞后与统计特征，而非类别特征之间的显式交叉；它们分别刻画短期连续性、周周期、近期水平和变化趋势。</w:t>
      </w:r>
    </w:p>
    <w:p w14:paraId="6287CEAC">
      <w:pPr>
        <w:rPr>
          <w:rFonts w:hint="eastAsia"/>
        </w:rPr>
      </w:pPr>
    </w:p>
    <w:p w14:paraId="2F14A903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9.3  问题分析与解决方案</w:t>
      </w:r>
    </w:p>
    <w:p w14:paraId="68D4BAD9">
      <w:pPr>
        <w:pStyle w:val="33"/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9.3.1  缺少 pandas</w:t>
      </w:r>
    </w:p>
    <w:p w14:paraId="3ABE64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相关操作或实验结果如图51所示。</w:t>
      </w:r>
    </w:p>
    <w:p w14:paraId="28897BD2">
      <w:pPr>
        <w:jc w:val="center"/>
      </w:pPr>
      <w:r>
        <w:drawing>
          <wp:inline distT="0" distB="0" distL="114300" distR="114300">
            <wp:extent cx="4320000" cy="840758"/>
            <wp:effectExtent l="0" t="0" r="12065" b="3810"/>
            <wp:docPr id="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4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CA3E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图51  缺少 pandas 时的报错信息</w:t>
      </w:r>
    </w:p>
    <w:p w14:paraId="0A602E5A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当前 PyTorch 虚拟环境缺少 pandas 库，程序无法导入相应模块。</w:t>
      </w:r>
    </w:p>
    <w:p w14:paraId="42B7C07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解决办法</w:t>
      </w:r>
    </w:p>
    <w:p w14:paraId="22BE48D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在 Anaconda Prompt 中激活 pytorch 环境后执行 conda install pandas，安装完成后重新运行程序。</w:t>
      </w:r>
    </w:p>
    <w:p w14:paraId="5125EC3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相关操作或实验结果如图52所示。</w:t>
      </w:r>
    </w:p>
    <w:p w14:paraId="1AB44958">
      <w:pPr>
        <w:jc w:val="center"/>
      </w:pPr>
      <w:r>
        <w:drawing>
          <wp:inline distT="0" distB="0" distL="114300" distR="114300">
            <wp:extent cx="4320000" cy="1539274"/>
            <wp:effectExtent l="0" t="0" r="8890" b="3175"/>
            <wp:docPr id="5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39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F904E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图52  pandas 安装结果</w:t>
      </w:r>
    </w:p>
    <w:p w14:paraId="2E6A2514">
      <w:pPr>
        <w:pStyle w:val="33"/>
        <w:spacing w:before="60" w:after="60" w:line="36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9.3.2  缺少 scikit-learn</w:t>
      </w:r>
    </w:p>
    <w:p w14:paraId="43CF512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相关操作或实验结果如图53所示。</w:t>
      </w:r>
    </w:p>
    <w:p w14:paraId="27E0EB4F">
      <w:pPr>
        <w:jc w:val="center"/>
      </w:pPr>
      <w:r>
        <w:drawing>
          <wp:inline distT="0" distB="0" distL="114300" distR="114300">
            <wp:extent cx="4320000" cy="850284"/>
            <wp:effectExtent l="0" t="0" r="8255" b="5080"/>
            <wp:docPr id="5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5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1064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图53  缺少 scikit-learn 时的报错信息</w:t>
      </w:r>
    </w:p>
    <w:p w14:paraId="07F6D571">
      <w:p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导入名为 sklearn，但安装包名为 scikit-learn；当前 PyTorch Conda 环境缺少该依赖。</w:t>
      </w:r>
    </w:p>
    <w:p w14:paraId="2A9195FA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解决办法</w:t>
      </w:r>
    </w:p>
    <w:p w14:paraId="4C2EC1BA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hint="eastAsia" w:ascii="Consolas" w:hAnsi="Consolas" w:eastAsia="宋体" w:cs="Consolas"/>
          <w:lang w:val="en-US" w:eastAsia="zh-CN"/>
        </w:rPr>
      </w:pPr>
      <w:r>
        <w:rPr>
          <w:rFonts w:ascii="Times New Roman" w:hAnsi="Times New Roman" w:eastAsia="宋体"/>
          <w:sz w:val="24"/>
        </w:rPr>
        <w:t>在 Anaconda Prompt 中激活 pytorch 环境后执行 conda install scikit-learn。</w:t>
      </w:r>
    </w:p>
    <w:p w14:paraId="738D35C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相关操作或实验结果如图54所示。</w:t>
      </w:r>
    </w:p>
    <w:p w14:paraId="3CD102B3">
      <w:pPr>
        <w:jc w:val="center"/>
      </w:pPr>
      <w:r>
        <w:drawing>
          <wp:inline distT="0" distB="0" distL="114300" distR="114300">
            <wp:extent cx="4320000" cy="3222061"/>
            <wp:effectExtent l="0" t="0" r="7620" b="0"/>
            <wp:docPr id="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22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1FA95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图54  scikit-learn 安装结果</w:t>
      </w:r>
    </w:p>
    <w:p w14:paraId="17E113E6">
      <w:pPr>
        <w:pStyle w:val="33"/>
        <w:spacing w:before="60" w:after="60" w:line="36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9.3.3  缺少 openpyxl</w:t>
      </w:r>
    </w:p>
    <w:p w14:paraId="40733F4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相关操作或实验结果如图55所示。</w:t>
      </w:r>
    </w:p>
    <w:p w14:paraId="218A8A67">
      <w:pPr>
        <w:jc w:val="center"/>
      </w:pPr>
      <w:r>
        <w:drawing>
          <wp:inline distT="0" distB="0" distL="114300" distR="114300">
            <wp:extent cx="4320000" cy="1169696"/>
            <wp:effectExtent l="0" t="0" r="13335" b="9525"/>
            <wp:docPr id="5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6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C07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图55  缺少 openpyxl 时的报错信息</w:t>
      </w:r>
    </w:p>
    <w:p w14:paraId="35B45A7E">
      <w:p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pandas 读写 .xlsx 文件需要 openpyxl；当前 PyTorch 环境缺少该依赖。</w:t>
      </w:r>
    </w:p>
    <w:p w14:paraId="131F9C26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解决办法</w:t>
      </w:r>
    </w:p>
    <w:p w14:paraId="3BC367A1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在 Anaconda Prompt 中激活 pytorch 环境后执行 conda install openpyxl。</w:t>
      </w:r>
    </w:p>
    <w:p w14:paraId="4C0A861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相关操作或实验结果如图56所示。</w:t>
      </w:r>
    </w:p>
    <w:p w14:paraId="1EDE2672">
      <w:pPr>
        <w:jc w:val="center"/>
      </w:pPr>
      <w:r>
        <w:drawing>
          <wp:inline distT="0" distB="0" distL="114300" distR="114300">
            <wp:extent cx="4320000" cy="1268758"/>
            <wp:effectExtent l="0" t="0" r="0" b="0"/>
            <wp:docPr id="5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6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717E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图56  openpyxl 安装结果</w:t>
      </w:r>
    </w:p>
    <w:p w14:paraId="4C3B8FBE">
      <w:pPr>
        <w:pStyle w:val="2"/>
        <w:numPr>
          <w:ilvl w:val="0"/>
          <w:numId w:val="0"/>
        </w:numPr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10  TabNet 电力负荷预测</w:t>
      </w:r>
    </w:p>
    <w:p w14:paraId="5E04B075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10.1  运行结果</w:t>
      </w:r>
    </w:p>
    <w:p w14:paraId="13A1BFB3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 xml:space="preserve"> 特征重要性柱状图</w:t>
      </w:r>
    </w:p>
    <w:p w14:paraId="195A5737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作用：可解释分析，看哪个特征最重要，看到 Lag_1 前一日负荷贡献最大。</w:t>
      </w:r>
    </w:p>
    <w:p w14:paraId="7C1A9348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 xml:space="preserve"> 真实‑预测折线对比图</w:t>
      </w:r>
    </w:p>
    <w:p w14:paraId="4D392E5E">
      <w:pPr>
        <w:numPr>
          <w:ilvl w:val="0"/>
          <w:numId w:val="0"/>
        </w:numPr>
        <w:spacing w:before="0" w:after="0" w:line="360" w:lineRule="auto"/>
        <w:ind w:firstLine="480"/>
      </w:pPr>
      <w:r>
        <w:rPr>
          <w:rFonts w:hint="eastAsia" w:ascii="Times New Roman" w:hAnsi="Times New Roman" w:eastAsia="宋体"/>
          <w:sz w:val="24"/>
          <w:lang w:val="en-US" w:eastAsia="zh-CN"/>
        </w:rPr>
        <w:t>作用：直观展示电力负荷预测效果，看曲线能跟上真实负荷的起伏，代表预测任务完成。</w:t>
      </w:r>
    </w:p>
    <w:p w14:paraId="09A1044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相关操作或实验结果如图57所示。</w:t>
      </w:r>
    </w:p>
    <w:p w14:paraId="5A46B80C">
      <w:pPr>
        <w:jc w:val="center"/>
      </w:pPr>
      <w:r>
        <w:drawing>
          <wp:inline distT="0" distB="0" distL="114300" distR="114300">
            <wp:extent cx="4320000" cy="2159682"/>
            <wp:effectExtent l="0" t="0" r="9525" b="4445"/>
            <wp:docPr id="6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59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0F6B1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图57  TabNet 特征重要性结果</w:t>
      </w:r>
    </w:p>
    <w:p w14:paraId="4419D39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相关操作或实验结果如图58所示。</w:t>
      </w:r>
    </w:p>
    <w:p w14:paraId="4F1F9117">
      <w:pPr>
        <w:jc w:val="center"/>
      </w:pPr>
      <w:r>
        <w:drawing>
          <wp:inline distT="0" distB="0" distL="114300" distR="114300">
            <wp:extent cx="4320000" cy="1799630"/>
            <wp:effectExtent l="0" t="0" r="11430" b="12065"/>
            <wp:docPr id="6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9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61AD">
      <w:pPr>
        <w:pStyle w:val="34"/>
        <w:spacing w:before="6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图58  TabNet 真实值与预测值对比</w:t>
      </w:r>
    </w:p>
    <w:p w14:paraId="7673D23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相关操作或实验结果如图59所示。</w:t>
      </w:r>
    </w:p>
    <w:p w14:paraId="3E79B4FA">
      <w:pPr>
        <w:pStyle w:val="34"/>
        <w:spacing w:before="60" w:after="120" w:line="240" w:lineRule="auto"/>
        <w:jc w:val="center"/>
        <w:rPr>
          <w:rFonts w:ascii="Times New Roman" w:hAnsi="Times New Roman" w:eastAsia="宋体"/>
          <w:sz w:val="21"/>
        </w:rPr>
      </w:pPr>
      <w:r>
        <w:drawing>
          <wp:inline distT="0" distB="0" distL="114300" distR="114300">
            <wp:extent cx="4320000" cy="2591492"/>
            <wp:effectExtent l="0" t="0" r="0" b="0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1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78169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图59  TabNet 参数量及特征重要性数值</w:t>
      </w:r>
    </w:p>
    <w:p w14:paraId="7D9E0DF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相关操作或实验结果如图60所示。</w:t>
      </w:r>
    </w:p>
    <w:p w14:paraId="5BDC3E2A">
      <w:pPr>
        <w:pStyle w:val="34"/>
        <w:spacing w:before="60" w:after="120" w:line="240" w:lineRule="auto"/>
        <w:jc w:val="center"/>
        <w:rPr>
          <w:rFonts w:ascii="Times New Roman" w:hAnsi="Times New Roman" w:eastAsia="宋体"/>
          <w:sz w:val="21"/>
        </w:rPr>
      </w:pPr>
      <w:r>
        <w:drawing>
          <wp:inline distT="0" distB="0" distL="114300" distR="114300">
            <wp:extent cx="4320000" cy="2402893"/>
            <wp:effectExtent l="0" t="0" r="8255" b="5080"/>
            <wp:docPr id="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0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B51A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图60  TabNet 测试指标与特征重要性输出</w:t>
      </w:r>
    </w:p>
    <w:p w14:paraId="758B2580">
      <w:pPr>
        <w:spacing w:before="0" w:after="0" w:line="360" w:lineRule="auto"/>
        <w:ind w:firstLine="480"/>
      </w:pPr>
      <w:r>
        <w:t>本实验按时间顺序将前80%样本作为训练集、后20%作为测试集，并仅用训练集拟合标准化器。修正目标泄漏后，TabNet在第33轮取得最佳结果，训练时间为31.79秒；标准化尺度下MAE=0.3267、RMSE=0.4785、R²=0.8186。特征重要性图仍表明Lag_1是关键输入，说明前一日负荷对当天负荷具有较强解释力。预测曲线能够跟随主要周期变化，但在突发尖峰和低谷处仍存在较大偏差。</w:t>
      </w:r>
    </w:p>
    <w:p w14:paraId="663ECB48">
      <w:pPr>
        <w:pStyle w:val="2"/>
        <w:numPr>
          <w:ilvl w:val="0"/>
          <w:numId w:val="0"/>
        </w:numPr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11  FT-Transformer 电力负荷预测</w:t>
      </w:r>
    </w:p>
    <w:p w14:paraId="66149F40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11.1  FT-Transformer 电力负荷预测结果</w:t>
      </w:r>
    </w:p>
    <w:p w14:paraId="56DEC1A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相关操作或实验结果如图61所示。</w:t>
      </w:r>
    </w:p>
    <w:p w14:paraId="2868FD7C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1460532"/>
            <wp:effectExtent l="0" t="0" r="6350" b="3810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6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861E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图61  FT-Transformer 训练过程</w:t>
      </w:r>
    </w:p>
    <w:p w14:paraId="2ABC36E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相关操作或实验结果如图62所示。</w:t>
      </w:r>
    </w:p>
    <w:p w14:paraId="51FE84D1">
      <w:pPr>
        <w:jc w:val="center"/>
      </w:pPr>
      <w:r>
        <w:drawing>
          <wp:inline distT="0" distB="0" distL="114300" distR="114300">
            <wp:extent cx="4320000" cy="1799630"/>
            <wp:effectExtent l="0" t="0" r="8255" b="13970"/>
            <wp:docPr id="34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9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8B8B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图62  FT-Transformer 真实值与预测值对比</w:t>
      </w:r>
    </w:p>
    <w:p>
      <w:pPr>
        <w:pStyle w:val="3"/>
      </w:pPr>
      <w:r>
        <w:rPr>
          <w:rFonts w:ascii="Times New Roman" w:hAnsi="Times New Roman" w:eastAsia="黑体"/>
          <w:b/>
          <w:sz w:val="30"/>
        </w:rPr>
        <w:t>11.2  统一条件下的模型比较</w:t>
      </w:r>
    </w:p>
    <w:p>
      <w:r>
        <w:rPr>
          <w:rFonts w:ascii="Times New Roman" w:hAnsi="Times New Roman" w:eastAsia="宋体"/>
          <w:sz w:val="24"/>
        </w:rPr>
        <w:t>三种模型统一使用Area1_Load工作表的T1200负荷，采用相同的滞后与统计特征、前80%训练/后20%测试的时序划分、随机种子42以及训练集拟合的标准化器。训练时间仅统计模型训练过程；运行环境为5核CPU，因此时间会随硬件变化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三种电力负荷预测模型的量化结果见表4。</w:t>
      </w:r>
    </w:p>
    <w:p>
      <w:pPr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表4  MLP、TabNet与FT-Transformer结果对比</w:t>
      </w:r>
    </w:p>
    <w:tbl>
      <w:tblPr>
        <w:tblStyle w:val="15"/>
        <w:tblW w:w="4165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2"/>
        <w:gridCol w:w="1302"/>
        <w:gridCol w:w="1616"/>
        <w:gridCol w:w="1220"/>
        <w:gridCol w:w="1263"/>
        <w:gridCol w:w="1300"/>
        <w:gridCol w:w="1300"/>
      </w:tblGrid>
      <w:tr w14:paraId="5E46A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最佳轮次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训练时间（s）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MAE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RMSE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R²</w:t>
            </w:r>
          </w:p>
        </w:tc>
      </w:tr>
      <w:tr w14:paraId="782EF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MLP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13231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7.52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0.2389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0.4071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0.8687</w:t>
            </w:r>
          </w:p>
        </w:tc>
      </w:tr>
      <w:tr w14:paraId="36BDD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TabNet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27140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31.79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0.3267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0.4785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0.8186</w:t>
            </w:r>
          </w:p>
        </w:tc>
      </w:tr>
      <w:tr w14:paraId="1AD5C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FT-Transformer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599425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96.94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0.2331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0.4061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0.8694</w:t>
            </w:r>
          </w:p>
        </w:tc>
      </w:tr>
    </w:tbl>
    <w:p w14:paraId="2AAF344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由表4可知，在统一且无目标泄漏的评价条件下，FT-Transformer的R²最高（0.8694），但训练时间最长（96.94秒），参数量也显著高于另外两种模型；MLP的R²为0.8687，与FT-Transformer非常接近，而训练仅需7.52秒，体现出更好的计算效率；TabNet的R²为0.8186，训练时间为31.79秒，本次设置下精度低于MLP和FT-Transformer，但其特征重要性提供了更直接的可解释结果。综合精度和效率，MLP是本实验中更均衡的方案。</w:t>
      </w:r>
    </w:p>
    <w:p w14:paraId="4CDF65CB">
      <w:pPr>
        <w:numPr>
          <w:ilvl w:val="0"/>
          <w:numId w:val="0"/>
        </w:numPr>
        <w:spacing w:before="0" w:after="0" w:line="360" w:lineRule="auto"/>
        <w:ind w:firstLine="480"/>
        <w:rPr>
          <w:rFonts w:hint="default"/>
          <w:lang w:val="en-US" w:eastAsia="zh-CN"/>
        </w:rPr>
      </w:pPr>
      <w:r>
        <w:t>修正连续特征映射层后，FT-Transformer的参数量为599,425，在第120轮获得最佳结果：标准化尺度下MAE=0.2331、RMSE=0.4061、R²=0.8694。其预测曲线能够跟随整体趋势和周期变化，但对突发尖峰与骤降的拟合仍较弱。与MLP相比，FT-Transformer的R²仅提高约0.0007，却增加了参数量和训练时间，说明当前样本规模下复杂注意力结构未带来明显收益。</w:t>
      </w:r>
    </w:p>
    <w:p w14:paraId="4CDF337E">
      <w:pPr>
        <w:pStyle w:val="2"/>
        <w:spacing w:before="240" w:after="240" w:line="240" w:lineRule="auto"/>
      </w:pPr>
      <w:r>
        <w:rPr>
          <w:rFonts w:ascii="Times New Roman" w:hAnsi="Times New Roman" w:eastAsia="黑体"/>
          <w:b/>
          <w:sz w:val="44"/>
        </w:rPr>
        <w:t>12  AI 辅助使用声明</w:t>
      </w:r>
    </w:p>
    <w:p w14:paraId="02472C8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本报告使用生成式人工智能辅助进行格式统一、语言润色和技术表述核查；实验截图与原始运行结果来自作者提交的报告材料，结论依据课堂练习要求进行了复核。</w:t>
      </w:r>
    </w:p>
    <w:p w14:paraId="581DD45D">
      <w:pPr>
        <w:pStyle w:val="2"/>
        <w:spacing w:before="240" w:after="240" w:line="240" w:lineRule="auto"/>
      </w:pPr>
      <w:r>
        <w:rPr>
          <w:rFonts w:ascii="Times New Roman" w:hAnsi="Times New Roman" w:eastAsia="黑体"/>
          <w:b/>
          <w:sz w:val="44"/>
        </w:rPr>
        <w:t>13  提交前补充清单（填写完成后删除本节）</w:t>
      </w:r>
    </w:p>
    <w:p w14:paraId="5D848ED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C00000"/>
          <w:sz w:val="24"/>
          <w:highlight w:val="yellow"/>
        </w:rPr>
        <w:t>□ 封面学院、专业、学号、姓名均已填写。</w:t>
      </w:r>
    </w:p>
    <w:p w14:paraId="63DADC0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C00000"/>
          <w:sz w:val="24"/>
          <w:highlight w:val="yellow"/>
        </w:rPr>
        <w:t>□ 所有对照实验写出了实际准确率、损失或误差指标，而不是只写理论趋势。</w:t>
      </w:r>
    </w:p>
    <w:p w14:paraId="1CA9CEF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C00000"/>
          <w:sz w:val="24"/>
          <w:highlight w:val="yellow"/>
        </w:rPr>
        <w:t>□ 猫狗CNN与VGG16使用同一数据划分，并给出训练时间、损失和准确率。</w:t>
      </w:r>
    </w:p>
    <w:p w14:paraId="2F38610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☑ MLP、TabNet、FT-Transformer已给出参数量、训练时间、MAE、RMSE和R²。</w:t>
      </w:r>
    </w:p>
    <w:p w14:paraId="012868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C00000"/>
          <w:sz w:val="24"/>
          <w:highlight w:val="yellow"/>
        </w:rPr>
        <w:t>□ 时间序列数据按时间先后划分，归一化参数仅由训练集拟合，未发生数据泄漏。</w:t>
      </w:r>
    </w:p>
    <w:p w14:paraId="78686D60">
      <w:pPr>
        <w:spacing w:before="80" w:after="120" w:line="300" w:lineRule="auto"/>
      </w:pPr>
      <w:r>
        <w:rPr>
          <w:rFonts w:ascii="Times New Roman" w:hAnsi="Times New Roman" w:eastAsia="宋体"/>
          <w:b/>
          <w:color w:val="C00000"/>
          <w:sz w:val="21"/>
          <w:highlight w:val="yellow"/>
        </w:rPr>
        <w:t>□ 所有黄色“【待补充】”内容均已填写并删除提示文字。</w:t>
      </w:r>
    </w:p>
    <w:sectPr>
      <w:footerReference r:id="rId3" w:type="default"/>
      <w:pgSz w:w="11906" w:h="16838"/>
      <w:pgMar w:top="993" w:right="1133" w:bottom="851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43057154"/>
      <w:docPartObj>
        <w:docPartGallery w:val="autotext"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51D2C555">
        <w:pPr>
          <w:pStyle w:val="8"/>
          <w:jc w:val="center"/>
          <w:rPr>
            <w:rFonts w:ascii="Times New Roman" w:hAnsi="Times New Roman" w:cs="Times New Roman"/>
            <w:sz w:val="21"/>
            <w:szCs w:val="21"/>
          </w:rPr>
        </w:pPr>
        <w:r>
          <w:rPr>
            <w:rFonts w:ascii="Times New Roman" w:hAnsi="Times New Roman" w:cs="Times New Roman"/>
            <w:sz w:val="21"/>
            <w:szCs w:val="21"/>
          </w:rPr>
          <w:fldChar w:fldCharType="begin"/>
        </w:r>
        <w:r>
          <w:rPr>
            <w:rFonts w:ascii="Times New Roman" w:hAnsi="Times New Roman" w:cs="Times New Roman"/>
            <w:sz w:val="21"/>
            <w:szCs w:val="21"/>
          </w:rPr>
          <w:instrText xml:space="preserve">PAGE   \* MERGEFORMAT</w:instrText>
        </w:r>
        <w:r>
          <w:rPr>
            <w:rFonts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ascii="Times New Roman" w:hAnsi="Times New Roman" w:cs="Times New Roman"/>
            <w:sz w:val="21"/>
            <w:szCs w:val="21"/>
            <w:lang w:val="zh-CN"/>
          </w:rPr>
          <w:t>3</w:t>
        </w:r>
        <w:r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1DE941A5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4487E"/>
    <w:multiLevelType w:val="singleLevel"/>
    <w:tmpl w:val="90D4487E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2B1B0B5C"/>
    <w:multiLevelType w:val="singleLevel"/>
    <w:tmpl w:val="2B1B0B5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ZlYjcxNjc5ODdjMGNiMGEzNmMwZmQwY2JhZTgzZjUifQ=="/>
  </w:docVars>
  <w:rsids>
    <w:rsidRoot w:val="00647362"/>
    <w:rsid w:val="0000539A"/>
    <w:rsid w:val="00017820"/>
    <w:rsid w:val="00034CBF"/>
    <w:rsid w:val="00041B7D"/>
    <w:rsid w:val="0005082E"/>
    <w:rsid w:val="00055BF5"/>
    <w:rsid w:val="000674E3"/>
    <w:rsid w:val="000A004B"/>
    <w:rsid w:val="000A2960"/>
    <w:rsid w:val="000B6FB2"/>
    <w:rsid w:val="00113B06"/>
    <w:rsid w:val="001448D6"/>
    <w:rsid w:val="00150D6B"/>
    <w:rsid w:val="001567D1"/>
    <w:rsid w:val="001A4140"/>
    <w:rsid w:val="001C6DC8"/>
    <w:rsid w:val="001D2B54"/>
    <w:rsid w:val="001F3F00"/>
    <w:rsid w:val="00217723"/>
    <w:rsid w:val="00221201"/>
    <w:rsid w:val="00240039"/>
    <w:rsid w:val="00242966"/>
    <w:rsid w:val="002764D6"/>
    <w:rsid w:val="00276AFF"/>
    <w:rsid w:val="002904F4"/>
    <w:rsid w:val="002B0F60"/>
    <w:rsid w:val="002D3593"/>
    <w:rsid w:val="002F57A3"/>
    <w:rsid w:val="00312A04"/>
    <w:rsid w:val="00324573"/>
    <w:rsid w:val="00365CD1"/>
    <w:rsid w:val="003B5758"/>
    <w:rsid w:val="003D06FB"/>
    <w:rsid w:val="003D7338"/>
    <w:rsid w:val="003F6AB7"/>
    <w:rsid w:val="00430ADB"/>
    <w:rsid w:val="004E4388"/>
    <w:rsid w:val="004E7C7C"/>
    <w:rsid w:val="004F1AAE"/>
    <w:rsid w:val="00521709"/>
    <w:rsid w:val="00534442"/>
    <w:rsid w:val="0056117F"/>
    <w:rsid w:val="00570488"/>
    <w:rsid w:val="00570CB2"/>
    <w:rsid w:val="005E1E5B"/>
    <w:rsid w:val="00647362"/>
    <w:rsid w:val="00647CD8"/>
    <w:rsid w:val="006A0044"/>
    <w:rsid w:val="006C620D"/>
    <w:rsid w:val="006E6117"/>
    <w:rsid w:val="006E7D35"/>
    <w:rsid w:val="007123B2"/>
    <w:rsid w:val="00751253"/>
    <w:rsid w:val="00763E63"/>
    <w:rsid w:val="00777A0D"/>
    <w:rsid w:val="007810AD"/>
    <w:rsid w:val="007871A0"/>
    <w:rsid w:val="00790B3E"/>
    <w:rsid w:val="00797719"/>
    <w:rsid w:val="007A3A0B"/>
    <w:rsid w:val="007C6316"/>
    <w:rsid w:val="008535DC"/>
    <w:rsid w:val="008A0B6F"/>
    <w:rsid w:val="008A0B91"/>
    <w:rsid w:val="008A7AB5"/>
    <w:rsid w:val="008D4A72"/>
    <w:rsid w:val="00917129"/>
    <w:rsid w:val="00975E44"/>
    <w:rsid w:val="00995154"/>
    <w:rsid w:val="009B5836"/>
    <w:rsid w:val="009B6C2A"/>
    <w:rsid w:val="00A01D11"/>
    <w:rsid w:val="00A1253E"/>
    <w:rsid w:val="00A152A6"/>
    <w:rsid w:val="00A76B03"/>
    <w:rsid w:val="00AC4436"/>
    <w:rsid w:val="00B064B9"/>
    <w:rsid w:val="00B70572"/>
    <w:rsid w:val="00B937C4"/>
    <w:rsid w:val="00B954BB"/>
    <w:rsid w:val="00BB654B"/>
    <w:rsid w:val="00C00323"/>
    <w:rsid w:val="00C14983"/>
    <w:rsid w:val="00C367A0"/>
    <w:rsid w:val="00C8096F"/>
    <w:rsid w:val="00C861BA"/>
    <w:rsid w:val="00CA28AC"/>
    <w:rsid w:val="00CA50DD"/>
    <w:rsid w:val="00CD3E86"/>
    <w:rsid w:val="00CF79B6"/>
    <w:rsid w:val="00D437EE"/>
    <w:rsid w:val="00D70738"/>
    <w:rsid w:val="00D87214"/>
    <w:rsid w:val="00DC68F4"/>
    <w:rsid w:val="00DE36C4"/>
    <w:rsid w:val="00E370CA"/>
    <w:rsid w:val="00E44EE7"/>
    <w:rsid w:val="00E65AEC"/>
    <w:rsid w:val="00E75C17"/>
    <w:rsid w:val="00EB4809"/>
    <w:rsid w:val="00EB58FF"/>
    <w:rsid w:val="00EF451C"/>
    <w:rsid w:val="00F62B7D"/>
    <w:rsid w:val="00F712BD"/>
    <w:rsid w:val="00F74E7B"/>
    <w:rsid w:val="00FE465D"/>
    <w:rsid w:val="03F60FF6"/>
    <w:rsid w:val="05EF65B1"/>
    <w:rsid w:val="06085F31"/>
    <w:rsid w:val="0F9D2C6D"/>
    <w:rsid w:val="17CE7E68"/>
    <w:rsid w:val="1A181B9F"/>
    <w:rsid w:val="280F6544"/>
    <w:rsid w:val="294F3DC5"/>
    <w:rsid w:val="2B362276"/>
    <w:rsid w:val="34B85623"/>
    <w:rsid w:val="436505E5"/>
    <w:rsid w:val="444C059D"/>
    <w:rsid w:val="4F986114"/>
    <w:rsid w:val="5D9E5D76"/>
    <w:rsid w:val="6A7321DD"/>
    <w:rsid w:val="6DF8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2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5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6">
    <w:name w:val="annotation text"/>
    <w:basedOn w:val="1"/>
    <w:link w:val="30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3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spacing w:before="120" w:after="120"/>
      <w:jc w:val="left"/>
    </w:pPr>
    <w:rPr>
      <w:rFonts w:ascii="Times New Roman" w:hAnsi="Times New Roman" w:eastAsia="宋体" w:cs="Times New Roman"/>
      <w:b/>
      <w:bCs/>
      <w:caps/>
      <w:sz w:val="20"/>
      <w:szCs w:val="20"/>
    </w:rPr>
  </w:style>
  <w:style w:type="paragraph" w:styleId="11">
    <w:name w:val="toc 2"/>
    <w:basedOn w:val="1"/>
    <w:next w:val="1"/>
    <w:semiHidden/>
    <w:qFormat/>
    <w:uiPriority w:val="0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</w:rPr>
  </w:style>
  <w:style w:type="paragraph" w:styleId="1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annotation subject"/>
    <w:basedOn w:val="6"/>
    <w:next w:val="6"/>
    <w:link w:val="31"/>
    <w:semiHidden/>
    <w:unhideWhenUsed/>
    <w:uiPriority w:val="99"/>
    <w:rPr>
      <w:b/>
      <w:bCs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page number"/>
    <w:basedOn w:val="17"/>
    <w:uiPriority w:val="0"/>
  </w:style>
  <w:style w:type="character" w:styleId="20">
    <w:name w:val="Hyperlink"/>
    <w:basedOn w:val="17"/>
    <w:qFormat/>
    <w:uiPriority w:val="0"/>
    <w:rPr>
      <w:color w:val="0000FF"/>
      <w:u w:val="single"/>
    </w:rPr>
  </w:style>
  <w:style w:type="character" w:styleId="21">
    <w:name w:val="HTML Code"/>
    <w:basedOn w:val="17"/>
    <w:uiPriority w:val="0"/>
    <w:rPr>
      <w:rFonts w:ascii="Courier New" w:hAnsi="Courier New"/>
      <w:sz w:val="20"/>
    </w:rPr>
  </w:style>
  <w:style w:type="character" w:styleId="22">
    <w:name w:val="annotation reference"/>
    <w:basedOn w:val="17"/>
    <w:semiHidden/>
    <w:unhideWhenUsed/>
    <w:uiPriority w:val="99"/>
    <w:rPr>
      <w:sz w:val="21"/>
      <w:szCs w:val="21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眉 字符"/>
    <w:basedOn w:val="17"/>
    <w:link w:val="9"/>
    <w:uiPriority w:val="99"/>
    <w:rPr>
      <w:sz w:val="18"/>
      <w:szCs w:val="18"/>
    </w:rPr>
  </w:style>
  <w:style w:type="character" w:customStyle="1" w:styleId="25">
    <w:name w:val="页脚 字符"/>
    <w:basedOn w:val="17"/>
    <w:link w:val="8"/>
    <w:qFormat/>
    <w:uiPriority w:val="99"/>
    <w:rPr>
      <w:sz w:val="18"/>
      <w:szCs w:val="18"/>
    </w:rPr>
  </w:style>
  <w:style w:type="character" w:customStyle="1" w:styleId="26">
    <w:name w:val="标题 1 字符"/>
    <w:basedOn w:val="17"/>
    <w:qFormat/>
    <w:uiPriority w:val="9"/>
    <w:rPr>
      <w:b/>
      <w:bCs/>
      <w:kern w:val="44"/>
      <w:sz w:val="44"/>
      <w:szCs w:val="44"/>
    </w:rPr>
  </w:style>
  <w:style w:type="character" w:customStyle="1" w:styleId="27">
    <w:name w:val="标题 2 字符"/>
    <w:basedOn w:val="17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1 字符1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9">
    <w:name w:val="标题 2 字符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0">
    <w:name w:val="批注文字 字符"/>
    <w:basedOn w:val="17"/>
    <w:link w:val="6"/>
    <w:semiHidden/>
    <w:qFormat/>
    <w:uiPriority w:val="99"/>
    <w:rPr>
      <w:kern w:val="2"/>
      <w:sz w:val="21"/>
      <w:szCs w:val="22"/>
    </w:rPr>
  </w:style>
  <w:style w:type="character" w:customStyle="1" w:styleId="31">
    <w:name w:val="批注主题 字符"/>
    <w:basedOn w:val="30"/>
    <w:link w:val="14"/>
    <w:semiHidden/>
    <w:qFormat/>
    <w:uiPriority w:val="99"/>
    <w:rPr>
      <w:b/>
      <w:bCs/>
      <w:kern w:val="2"/>
      <w:sz w:val="21"/>
      <w:szCs w:val="22"/>
    </w:rPr>
  </w:style>
  <w:style w:type="character" w:customStyle="1" w:styleId="32">
    <w:name w:val="批注框文本 字符"/>
    <w:basedOn w:val="17"/>
    <w:link w:val="7"/>
    <w:semiHidden/>
    <w:uiPriority w:val="99"/>
    <w:rPr>
      <w:kern w:val="2"/>
      <w:sz w:val="18"/>
      <w:szCs w:val="18"/>
    </w:rPr>
  </w:style>
  <w:style w:type="paragraph" w:customStyle="1" w:styleId="33">
    <w:name w:val="heading 3"/>
    <w:basedOn w:val="1"/>
    <w:uiPriority w:val="0"/>
  </w:style>
  <w:style w:type="paragraph" w:customStyle="1" w:styleId="34">
    <w:name w:val="caption"/>
    <w:basedOn w:val="1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9" Type="http://schemas.openxmlformats.org/officeDocument/2006/relationships/fontTable" Target="fontTable.xml"/><Relationship Id="rId68" Type="http://schemas.openxmlformats.org/officeDocument/2006/relationships/customXml" Target="../customXml/item1.xml"/><Relationship Id="rId67" Type="http://schemas.openxmlformats.org/officeDocument/2006/relationships/numbering" Target="numbering.xml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180A5-5154-4282-A637-82181D8349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34</Pages>
  <Words>181</Words>
  <Characters>313</Characters>
  <Lines>3</Lines>
  <Paragraphs>1</Paragraphs>
  <TotalTime>2</TotalTime>
  <ScaleCrop>false</ScaleCrop>
  <LinksUpToDate>false</LinksUpToDate>
  <CharactersWithSpaces>346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2019-01-07T06:05:00Z</dcterms:created>
  <dc:creator>xing</dc:creator>
  <cp:lastModifiedBy>,,,,</cp:lastModifiedBy>
  <cp:lastPrinted>2019-01-07T07:10:00Z</cp:lastPrinted>
  <dcterms:modified xsi:type="dcterms:W3CDTF">2026-10-26T05:36:29Z</dcterms:modified>
  <dc:subject>课程实验结果、问题分析与模型比较</dc:subject>
  <dc:title>《深度学习案例与实践》结课报告（实验结果完整修订版）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FE4C652105334AE88CE758556CF18B66</vt:lpwstr>
  </property>
  <property fmtid="{D5CDD505-2E9C-101B-9397-08002B2CF9AE}" pid="4" name="KSOTemplateDocerSaveRecord">
    <vt:lpwstr>eyJoZGlkIjoiYjRlNGE5NTQxNDkwMThlMTBiNTlhNzhlMTMyOTdhZjYiLCJ1c2VySWQiOiIxMjYxOTIyNDg2In0=</vt:lpwstr>
  </property>
</Properties>
</file>