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46E78">
      <w:pPr>
        <w:jc w:val="center"/>
        <w:rPr>
          <w:rFonts w:ascii="Times New Roman" w:hAnsi="Times New Roman" w:cs="Times New Roman"/>
        </w:rPr>
      </w:pPr>
    </w:p>
    <w:p w14:paraId="79F4F161">
      <w:pPr>
        <w:jc w:val="center"/>
        <w:rPr>
          <w:rFonts w:ascii="Times New Roman" w:hAnsi="Times New Roman" w:eastAsia="华文中宋" w:cs="Times New Roman"/>
          <w:b/>
          <w:sz w:val="72"/>
        </w:rPr>
      </w:pPr>
    </w:p>
    <w:p w14:paraId="04296642">
      <w:pPr>
        <w:jc w:val="center"/>
        <w:rPr>
          <w:rFonts w:ascii="Times New Roman" w:hAnsi="Times New Roman" w:eastAsia="华文中宋" w:cs="Times New Roman"/>
          <w:b/>
          <w:sz w:val="72"/>
        </w:rPr>
      </w:pPr>
    </w:p>
    <w:p w14:paraId="326C5F17">
      <w:pPr>
        <w:jc w:val="center"/>
        <w:rPr>
          <w:rFonts w:hint="eastAsia" w:ascii="Times New Roman" w:hAnsi="Times New Roman" w:eastAsia="华文中宋" w:cs="Times New Roman"/>
          <w:b/>
          <w:sz w:val="72"/>
        </w:rPr>
      </w:pPr>
    </w:p>
    <w:p w14:paraId="555D5C21">
      <w:pPr>
        <w:spacing w:before="0" w:after="0" w:line="240" w:lineRule="auto"/>
        <w:jc w:val="center"/>
        <w:rPr>
          <w:rFonts w:ascii="Times New Roman" w:hAnsi="Times New Roman" w:eastAsia="华文中宋" w:cs="Times New Roman"/>
          <w:b/>
          <w:sz w:val="72"/>
        </w:rPr>
      </w:pPr>
      <w:r>
        <w:rPr>
          <w:rFonts w:hint="eastAsia" w:ascii="Times New Roman" w:hAnsi="Times New Roman" w:eastAsia="华文中宋" w:cs="Times New Roman"/>
          <w:b w:val="1"/>
          <w:color w:val="000000"/>
          <w:sz w:val="72"/>
          <w:szCs w:val="72"/>
          <w:bCs w:val="1"/>
        </w:rPr>
        <w:t>《深度学习案例与实践》</w:t>
      </w:r>
    </w:p>
    <w:p w14:paraId="230EE91B">
      <w:pPr>
        <w:spacing w:before="0" w:after="0" w:line="240" w:lineRule="auto"/>
        <w:jc w:val="center"/>
        <w:rPr>
          <w:rFonts w:ascii="Times New Roman" w:hAnsi="Times New Roman" w:eastAsia="华文中宋" w:cs="Times New Roman"/>
          <w:b/>
          <w:sz w:val="20"/>
        </w:rPr>
      </w:pPr>
      <w:r>
        <w:rPr>
          <w:rFonts w:ascii="Times New Roman" w:hAnsi="Times New Roman" w:eastAsia="华文中宋" w:cs="Times New Roman"/>
          <w:b w:val="1"/>
          <w:color w:val="000000"/>
          <w:sz w:val="72"/>
          <w:szCs w:val="72"/>
          <w:bCs w:val="1"/>
        </w:rPr>
        <w:t>报告</w:t>
      </w:r>
    </w:p>
    <w:p w14:paraId="0E117FDC">
      <w:pPr>
        <w:jc w:val="center"/>
        <w:rPr>
          <w:rFonts w:hint="eastAsia" w:ascii="Times New Roman" w:hAnsi="Times New Roman" w:eastAsia="华文中宋" w:cs="Times New Roman"/>
          <w:b/>
          <w:sz w:val="72"/>
        </w:rPr>
      </w:pPr>
    </w:p>
    <w:p w14:paraId="04BB83A6">
      <w:pPr>
        <w:rPr>
          <w:rFonts w:ascii="Times New Roman" w:hAnsi="Times New Roman" w:cs="Times New Roman"/>
        </w:rPr>
      </w:pPr>
    </w:p>
    <w:p w14:paraId="28B62516">
      <w:pPr>
        <w:rPr>
          <w:rFonts w:ascii="Times New Roman" w:hAnsi="Times New Roman" w:cs="Times New Roman"/>
        </w:rPr>
      </w:pPr>
    </w:p>
    <w:tbl>
      <w:tblPr>
        <w:tblStyle w:val="15"/>
        <w:tblW w:w="68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4767"/>
      </w:tblGrid>
      <w:tr w14:paraId="1B5882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2052" w:type="dxa"/>
            <w:vAlign w:val="center"/>
          </w:tcPr>
          <w:p w14:paraId="6EB99628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黑体" w:cs="Times New Roman"/>
                <w:b w:val="0"/>
                <w:kern w:val="10"/>
                <w:sz w:val="30"/>
                <w:szCs w:val="30"/>
                <w:bCs w:val="0"/>
              </w:rPr>
              <w:t>学    院</w:t>
            </w:r>
          </w:p>
        </w:tc>
        <w:tc>
          <w:tcPr>
            <w:tcW w:w="4767" w:type="dxa"/>
            <w:tcBorders>
              <w:bottom w:val="single" w:color="auto" w:sz="4" w:space="0"/>
            </w:tcBorders>
            <w:vAlign w:val="center"/>
          </w:tcPr>
          <w:p w14:paraId="5848E31F">
            <w:pPr>
              <w:spacing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 w:eastAsia="宋体"/>
                <w:lang w:val="en-US" w:eastAsia="zh-CN"/>
                <w:sz w:val="30"/>
                <w:szCs w:val="30"/>
                <w:b w:val="0"/>
                <w:bCs w:val="0"/>
              </w:rPr>
              <w:t>计算机科学与工程学院</w:t>
            </w:r>
          </w:p>
        </w:tc>
      </w:tr>
      <w:tr w14:paraId="3B6AFA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2052" w:type="dxa"/>
            <w:vAlign w:val="center"/>
          </w:tcPr>
          <w:p w14:paraId="2D86A3CF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黑体" w:cs="Times New Roman"/>
                <w:b w:val="0"/>
                <w:kern w:val="10"/>
                <w:sz w:val="30"/>
                <w:szCs w:val="30"/>
                <w:bCs w:val="0"/>
              </w:rPr>
              <w:t>专    业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1AF973C">
            <w:pPr>
              <w:spacing w:line="24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 w:eastAsia="宋体"/>
                <w:lang w:val="en-US" w:eastAsia="zh-CN"/>
                <w:sz w:val="30"/>
                <w:szCs w:val="30"/>
                <w:b w:val="0"/>
                <w:bCs w:val="0"/>
              </w:rPr>
              <w:t>通信工程</w:t>
            </w:r>
          </w:p>
        </w:tc>
      </w:tr>
      <w:tr w14:paraId="4B3DE6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2052" w:type="dxa"/>
            <w:vAlign w:val="center"/>
          </w:tcPr>
          <w:p w14:paraId="0087EF54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黑体" w:cs="Times New Roman"/>
                <w:b w:val="0"/>
                <w:kern w:val="10"/>
                <w:sz w:val="30"/>
                <w:szCs w:val="30"/>
                <w:bCs w:val="0"/>
              </w:rPr>
              <w:t>学    号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8FD43A">
            <w:pPr>
              <w:spacing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 w:eastAsia="宋体"/>
                <w:lang w:val="en-US" w:eastAsia="zh-CN"/>
                <w:sz w:val="30"/>
                <w:szCs w:val="30"/>
                <w:b w:val="0"/>
                <w:bCs w:val="0"/>
              </w:rPr>
              <w:t>2672578</w:t>
            </w:r>
          </w:p>
        </w:tc>
      </w:tr>
      <w:tr w14:paraId="719C51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jc w:val="center"/>
        </w:trPr>
        <w:tc>
          <w:tcPr>
            <w:tcW w:w="2052" w:type="dxa"/>
            <w:vAlign w:val="center"/>
          </w:tcPr>
          <w:p w14:paraId="20CA4AAA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黑体" w:cs="Times New Roman"/>
                <w:b w:val="0"/>
                <w:kern w:val="10"/>
                <w:sz w:val="30"/>
                <w:szCs w:val="30"/>
                <w:bCs w:val="0"/>
              </w:rPr>
              <w:t>姓    名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81991AE">
            <w:pPr>
              <w:spacing w:line="24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 w:eastAsia="宋体"/>
                <w:lang w:val="en-US" w:eastAsia="zh-CN"/>
                <w:sz w:val="30"/>
                <w:szCs w:val="30"/>
                <w:b w:val="0"/>
                <w:bCs w:val="0"/>
              </w:rPr>
              <w:t>付镇远</w:t>
            </w:r>
          </w:p>
        </w:tc>
      </w:tr>
    </w:tbl>
    <w:p w14:paraId="3292E7E4">
      <w:pPr>
        <w:spacing w:line="600" w:lineRule="exact"/>
        <w:jc w:val="center"/>
        <w:rPr>
          <w:rFonts w:ascii="Times New Roman" w:hAnsi="Times New Roman" w:eastAsia="黑体" w:cs="Times New Roman"/>
          <w:spacing w:val="22"/>
          <w:kern w:val="10"/>
          <w:sz w:val="30"/>
        </w:rPr>
      </w:pPr>
    </w:p>
    <w:p w14:paraId="03E6DFE5">
      <w:pPr>
        <w:widowControl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18"/>
        </w:rPr>
        <w:br w:type="page"/>
      </w:r>
    </w:p>
    <w:p w14:paraId="75235A59">
      <w:pPr>
        <w:pStyle w:val="2"/>
        <w:spacing w:before="340" w:after="330" w:line="24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 w:cs="Times New Roman"/>
          <w:b w:val="1"/>
          <w:color w:val="000000"/>
          <w:sz w:val="44"/>
          <w:szCs w:val="44"/>
          <w:bCs w:val="1"/>
        </w:rPr>
        <w:t>1  Anaconda 下载与环境配置</w:t>
      </w:r>
    </w:p>
    <w:p w14:paraId="07A0EBB3">
      <w:pPr>
        <w:pStyle w:val="3"/>
        <w:spacing w:before="260" w:after="260" w:line="240" w:lineRule="auto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1.1  下载页面</w:t>
      </w:r>
    </w:p>
    <w:p w14:paraId="014510E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"Figure_1"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1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图1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231E63A7">
      <w:pPr>
        <w:keepNext/>
        <w:keepLines/>
        <w:spacing w:before="60" w:after="40" w:line="240" w:lineRule="auto"/>
        <w:jc w:val="center"/>
      </w:pPr>
      <w:bookmarkStart w:id="1001" w:name="Figure_1"/>
      <w:bookmarkStart w:id="0" w:name="Figure_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1824990"/>
            <wp:effectExtent l="0" t="0" r="127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825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bookmarkEnd w:id="1001"/>
    </w:p>
    <w:p w14:paraId="66DACDE6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图1  Anaconda 官方下载页面</w:t>
      </w:r>
    </w:p>
    <w:p w14:paraId="7079FCF6">
      <w:pPr>
        <w:pStyle w:val="13"/>
        <w:keepLines w:val="0"/>
        <w:widowControl/>
        <w:suppressLineNumbers w:val="0"/>
        <w:spacing w:before="0" w:after="0" w:line="360" w:lineRule="auto"/>
        <w:ind w:right="720" w:firstLine="480"/>
        <w:jc w:val="both"/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2.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不要点绿色</w:t>
      </w:r>
      <w:r>
        <w:rPr>
          <w:rStyle w:val="21"/>
          <w:rFonts w:hint="eastAsia"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Get Started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，那个会要求注册账号。直接用</w:t>
      </w:r>
      <w:r>
        <w:rPr>
          <w:rStyle w:val="18"/>
          <w:rFonts w:hint="eastAsia"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Skip Registration 跳过注册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，绕开登录即可下载安装包。</w:t>
      </w:r>
    </w:p>
    <w:p w14:paraId="7DB6569E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3.官网下载慢，用清华的镜像网站</w:t>
      </w:r>
    </w:p>
    <w:p w14:paraId="31F42B9B">
      <w:pPr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instrText xml:space="preserve"> HYPERLINK "https://mirrors.tuna.tsinghua.edu.cn/anaconda/archive/" </w:instrText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fldChar w:fldCharType="separate"/>
      </w:r>
      <w:r>
        <w:rPr>
          <w:rStyle w:val="20"/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https://mirrors.tuna.tsinghua.edu.cn/anaconda/archive/</w:t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 xml:space="preserve"> 找到最新版本的 Anaconda3</w:t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noBreakHyphen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xxx</w:t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noBreakHyphen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Windows</w:t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noBreakHyphen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x86_64.exe 下载。</w:t>
      </w:r>
    </w:p>
    <w:p w14:paraId="5A933CC6">
      <w:pPr>
        <w:spacing w:before="0" w:after="0" w:line="360" w:lineRule="auto"/>
        <w:ind w:firstLine="480"/>
        <w:jc w:val="both"/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  <w:b w:val="0"/>
          <w:bCs w:val="0"/>
        </w:rPr>
        <w:t>4.</w:t>
      </w:r>
    </w:p>
    <w:p w14:paraId="7DEBC6F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"Figure_2"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2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图2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1FCC7614">
      <w:pPr>
        <w:keepNext/>
        <w:keepLines/>
        <w:spacing w:before="60" w:after="40" w:line="240" w:lineRule="auto"/>
        <w:jc w:val="center"/>
      </w:pPr>
      <w:bookmarkStart w:id="1002" w:name="Figure_2"/>
      <w:bookmarkStart w:id="1" w:name="Figure_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1589405"/>
            <wp:effectExtent l="0" t="0" r="444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589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  <w:bookmarkEnd w:id="1002"/>
    </w:p>
    <w:p w14:paraId="31143EAA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图2  Anaconda 发行版选择页面</w:t>
      </w:r>
    </w:p>
    <w:p w14:paraId="4A0E0269">
      <w:pPr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选择</w:t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Anaconda Distribution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  <w:b w:val="0"/>
          <w:bCs w:val="0"/>
        </w:rPr>
        <w:t>这个</w:t>
      </w:r>
    </w:p>
    <w:p w14:paraId="081DD1BE">
      <w:pPr>
        <w:spacing w:before="0" w:after="0" w:line="360" w:lineRule="auto"/>
        <w:ind w:firstLine="48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  <w:b w:val="0"/>
          <w:bCs w:val="0"/>
        </w:rPr>
        <w:t>5.检验是否安装</w:t>
      </w:r>
    </w:p>
    <w:p w14:paraId="147A5078">
      <w:pPr>
        <w:spacing w:before="0" w:after="0" w:line="360" w:lineRule="auto"/>
        <w:ind w:firstLine="480"/>
        <w:jc w:val="both"/>
        <w:rPr>
          <w:rFonts w:hint="default" w:eastAsiaTheme="minor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输入win+R，控制面板内输入conda出现下图所示，说明安装成</w:t>
      </w:r>
    </w:p>
    <w:p w14:paraId="2AE3A1A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00318F5A">
      <w:pPr>
        <w:keepNext/>
        <w:keepLines/>
        <w:spacing w:before="60" w:after="40" w:line="240" w:lineRule="auto"/>
        <w:jc w:val="center"/>
      </w:pPr>
      <w:bookmarkStart w:id="1003" w:name="Figure_3"/>
      <w:bookmarkStart w:id="2" w:name="Figure_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1973580"/>
            <wp:effectExtent l="0" t="0" r="127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973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"/>
      <w:bookmarkEnd w:id="1003"/>
    </w:p>
    <w:p w14:paraId="2F2394B0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图3  Conda 命令检验</w:t>
      </w:r>
    </w:p>
    <w:p w14:paraId="6B36B0C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"Figure_4"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4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图4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12B81B27">
      <w:pPr>
        <w:keepNext/>
        <w:keepLines/>
        <w:spacing w:before="60" w:after="40" w:line="240" w:lineRule="auto"/>
        <w:jc w:val="center"/>
      </w:pPr>
      <w:bookmarkStart w:id="1004" w:name="Figure_4"/>
      <w:bookmarkStart w:id="3" w:name="Figure_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1959610"/>
            <wp:effectExtent l="0" t="0" r="5715" b="1206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959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  <w:bookmarkEnd w:id="1004"/>
    </w:p>
    <w:p w14:paraId="56BAEAA5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图4  Conda 环境信息输出结果</w:t>
      </w:r>
    </w:p>
    <w:p w14:paraId="21DFE247">
      <w:pPr>
        <w:pStyle w:val="2"/>
        <w:numPr>
          <w:ilvl w:val="0"/>
          <w:numId w:val="0"/>
        </w:numPr>
        <w:spacing w:before="340" w:after="33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44"/>
          <w:szCs w:val="44"/>
          <w:bCs w:val="1"/>
        </w:rPr>
        <w:t>2  CPU 版 PyTorch 安装与张量测试</w:t>
      </w:r>
    </w:p>
    <w:p w14:paraId="56B3E40F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 w:ascii="Times New Roman" w:hAnsi="Times New Roman" w:cs="Times New Roman" w:eastAsia="宋体"/>
          <w:color w:val="000000"/>
          <w:kern w:val="2"/>
          <w:sz w:val="24"/>
          <w:szCs w:val="24"/>
          <w:lang w:val="en-US" w:eastAsia="zh-CN" w:bidi="ar-SA"/>
          <w:b w:val="0"/>
          <w:bCs w:val="0"/>
        </w:rPr>
        <w:t>1.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打开Anaconda Prompt</w:t>
      </w:r>
    </w:p>
    <w:p w14:paraId="4D65C14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"Figure_5"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5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图5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73050A78">
      <w:pPr>
        <w:keepNext/>
        <w:keepLines/>
        <w:numPr>
          <w:ilvl w:val="0"/>
          <w:numId w:val="0"/>
        </w:numPr>
        <w:spacing w:before="60" w:after="40" w:line="240" w:lineRule="auto"/>
        <w:jc w:val="center"/>
      </w:pPr>
      <w:bookmarkStart w:id="1005" w:name="Figure_5"/>
      <w:bookmarkStart w:id="4" w:name="Figure_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638175"/>
            <wp:effectExtent l="0" t="0" r="7620" b="762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638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"/>
      <w:bookmarkEnd w:id="1005"/>
    </w:p>
    <w:p w14:paraId="54F8E833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图5  Anaconda Prompt 界面</w:t>
      </w:r>
    </w:p>
    <w:p w14:paraId="28664ACD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 w:ascii="Times New Roman" w:hAnsi="Times New Roman" w:cs="Times New Roman" w:eastAsia="宋体"/>
          <w:color w:val="000000"/>
          <w:kern w:val="2"/>
          <w:sz w:val="24"/>
          <w:szCs w:val="24"/>
          <w:lang w:val="en-US" w:eastAsia="zh-CN" w:bidi="ar-SA"/>
          <w:b w:val="0"/>
          <w:bCs w:val="0"/>
        </w:rPr>
        <w:t>2.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输入指令conda create -n pytorch Python=3.12.7</w:t>
      </w:r>
    </w:p>
    <w:p w14:paraId="2DC9D61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"Figure_6"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6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图6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628E0DE0">
      <w:pPr>
        <w:keepNext/>
        <w:keepLines/>
        <w:numPr>
          <w:ilvl w:val="0"/>
          <w:numId w:val="0"/>
        </w:numPr>
        <w:spacing w:before="60" w:after="40" w:line="240" w:lineRule="auto"/>
        <w:jc w:val="center"/>
      </w:pPr>
      <w:bookmarkStart w:id="1006" w:name="Figure_6"/>
      <w:bookmarkStart w:id="5" w:name="Figure_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1621155"/>
            <wp:effectExtent l="0" t="0" r="13970" b="889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62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"/>
      <w:bookmarkEnd w:id="1006"/>
    </w:p>
    <w:p w14:paraId="48314FB4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图6  PyTorch 虚拟环境创建结果</w:t>
      </w:r>
    </w:p>
    <w:p w14:paraId="3A2D8446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 w:eastAsiaTheme="minor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安装成功</w:t>
      </w:r>
    </w:p>
    <w:p w14:paraId="7803CEFC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 w:ascii="Times New Roman" w:hAnsi="Times New Roman" w:cs="Times New Roman" w:eastAsia="宋体"/>
          <w:color w:val="000000"/>
          <w:kern w:val="2"/>
          <w:sz w:val="24"/>
          <w:szCs w:val="24"/>
          <w:lang w:val="en-US" w:eastAsia="zh-CN" w:bidi="ar-SA"/>
          <w:b w:val="0"/>
          <w:bCs w:val="0"/>
        </w:rPr>
        <w:t>3.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激活虚拟环境</w:t>
      </w:r>
    </w:p>
    <w:p w14:paraId="5A8B83A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"Figure_7"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7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图7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4BE664E7">
      <w:pPr>
        <w:keepNext/>
        <w:keepLines/>
        <w:numPr>
          <w:ilvl w:val="0"/>
          <w:numId w:val="0"/>
        </w:numPr>
        <w:spacing w:before="60" w:after="40" w:line="240" w:lineRule="auto"/>
        <w:jc w:val="center"/>
      </w:pPr>
      <w:bookmarkStart w:id="1007" w:name="Figure_7"/>
      <w:bookmarkStart w:id="6" w:name="Figure_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715010"/>
            <wp:effectExtent l="0" t="0" r="7620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1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"/>
      <w:bookmarkEnd w:id="1007"/>
    </w:p>
    <w:p w14:paraId="3E42EAE4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图7  PyTorch 虚拟环境激活结果</w:t>
      </w:r>
    </w:p>
    <w:p w14:paraId="34E692D0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成功激活虚拟环境</w:t>
      </w:r>
    </w:p>
    <w:p w14:paraId="628E5249">
      <w:pPr>
        <w:numPr>
          <w:ilvl w:val="0"/>
          <w:numId w:val="0"/>
        </w:numPr>
        <w:spacing w:before="0" w:after="0" w:line="360" w:lineRule="auto"/>
        <w:ind w:left="0" w:leftChars="0" w:firstLine="480" w:firstLineChars="0"/>
        <w:jc w:val="both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 w:ascii="Times New Roman" w:hAnsi="Times New Roman" w:cs="Times New Roman" w:eastAsia="宋体"/>
          <w:color w:val="000000"/>
          <w:kern w:val="2"/>
          <w:sz w:val="24"/>
          <w:szCs w:val="24"/>
          <w:lang w:val="en-US" w:eastAsia="zh-CN" w:bidi="ar-SA"/>
          <w:b w:val="0"/>
          <w:bCs w:val="0"/>
        </w:rPr>
        <w:t>4.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在 pytorch环境下，安装 CPU 版 PyTorch</w:t>
      </w:r>
    </w:p>
    <w:p w14:paraId="231F1EF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"Figure_8"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8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图8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3E22E8ED">
      <w:pPr>
        <w:keepNext/>
        <w:keepLines/>
        <w:numPr>
          <w:ilvl w:val="0"/>
          <w:numId w:val="0"/>
        </w:numPr>
        <w:spacing w:before="60" w:after="40" w:line="240" w:lineRule="auto"/>
        <w:jc w:val="center"/>
      </w:pPr>
      <w:bookmarkStart w:id="1008" w:name="Figure_8"/>
      <w:bookmarkStart w:id="7" w:name="Figure_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1969135"/>
            <wp:effectExtent l="0" t="0" r="3175" b="1270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969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"/>
      <w:bookmarkEnd w:id="1008"/>
    </w:p>
    <w:p w14:paraId="5E2EF31F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图8  CPU 版 PyTorch 安装结果</w:t>
      </w:r>
    </w:p>
    <w:p w14:paraId="41C1F7EA">
      <w:pPr>
        <w:numPr>
          <w:ilvl w:val="0"/>
          <w:numId w:val="1"/>
        </w:numPr>
        <w:bidi w:val="0"/>
        <w:spacing w:before="0" w:after="0" w:line="360" w:lineRule="auto"/>
        <w:ind w:firstLine="480"/>
        <w:jc w:val="both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打印一个张量</w:t>
      </w:r>
    </w:p>
    <w:p w14:paraId="7F66FC8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"Figure_9"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9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图9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3C5EA19C">
      <w:pPr>
        <w:keepNext/>
        <w:keepLines/>
        <w:numPr>
          <w:ilvl w:val="0"/>
          <w:numId w:val="0"/>
        </w:numPr>
        <w:bidi w:val="0"/>
        <w:spacing w:before="60" w:after="40" w:line="240" w:lineRule="auto"/>
        <w:jc w:val="center"/>
        <w:rPr>
          <w:rFonts w:hint="default"/>
          <w:lang w:val="en-US" w:eastAsia="zh-CN"/>
        </w:rPr>
      </w:pPr>
      <w:bookmarkStart w:id="1009" w:name="Figure_9"/>
      <w:bookmarkStart w:id="8" w:name="Figure_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489200"/>
            <wp:effectExtent l="0" t="0" r="0" b="762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489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8"/>
      <w:bookmarkEnd w:id="1009"/>
    </w:p>
    <w:p w14:paraId="5671A43E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图9  PyTorch 张量创建与输出结果</w:t>
      </w:r>
    </w:p>
    <w:p w14:paraId="7E82BB43">
      <w:pPr>
        <w:pStyle w:val="2"/>
        <w:numPr>
          <w:ilvl w:val="0"/>
          <w:numId w:val="0"/>
        </w:numPr>
        <w:spacing w:before="340" w:after="330" w:line="240" w:lineRule="auto"/>
        <w:ind w:left="0" w:leftChars="0" w:firstLineChars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44"/>
          <w:szCs w:val="44"/>
          <w:bCs w:val="1"/>
        </w:rPr>
        <w:t>3  全连接网络手写数字识别</w:t>
      </w:r>
    </w:p>
    <w:p w14:paraId="4A37764F">
      <w:pPr>
        <w:pStyle w:val="3"/>
        <w:numPr>
          <w:ilvl w:val="0"/>
          <w:numId w:val="0"/>
        </w:numPr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3.1  基线模型运行结果</w:t>
      </w:r>
    </w:p>
    <w:p w14:paraId="709E301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"Figure_10"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10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图10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707B9635">
      <w:pPr>
        <w:keepNext/>
        <w:keepLines/>
        <w:numPr>
          <w:ilvl w:val="0"/>
          <w:numId w:val="0"/>
        </w:numPr>
        <w:spacing w:before="60" w:after="40" w:line="240" w:lineRule="auto"/>
        <w:jc w:val="center"/>
      </w:pPr>
      <w:bookmarkStart w:id="1010" w:name="Figure_10"/>
      <w:bookmarkStart w:id="9" w:name="Figure_1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1853565"/>
            <wp:effectExtent l="0" t="0" r="3810" b="1143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854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9"/>
      <w:bookmarkEnd w:id="1010"/>
    </w:p>
    <w:p w14:paraId="16C5A77A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图10  全连接网络基线训练过程</w:t>
      </w:r>
    </w:p>
    <w:p w14:paraId="1BD3052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"Figure_11"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11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图11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4CF9D2D5">
      <w:pPr>
        <w:keepNext/>
        <w:keepLines/>
        <w:numPr>
          <w:ilvl w:val="0"/>
          <w:numId w:val="0"/>
        </w:numPr>
        <w:spacing w:before="60" w:after="40" w:line="240" w:lineRule="auto"/>
        <w:jc w:val="center"/>
      </w:pPr>
      <w:bookmarkStart w:id="1011" w:name="Figure_11"/>
      <w:bookmarkStart w:id="10" w:name="Figure_1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312670"/>
            <wp:effectExtent l="0" t="0" r="6350" b="889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313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"/>
      <w:bookmarkEnd w:id="1011"/>
    </w:p>
    <w:p w14:paraId="15BC6C36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图11  全连接网络基线准确率曲线</w:t>
      </w:r>
    </w:p>
    <w:p w14:paraId="007D305F">
      <w:pPr>
        <w:pStyle w:val="3"/>
        <w:numPr>
          <w:ilvl w:val="0"/>
          <w:numId w:val="0"/>
        </w:numPr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3.2  隐藏层宽度调整</w:t>
      </w:r>
    </w:p>
    <w:p w14:paraId="7ECFE412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将隐藏层从128改为256，观察准确率变化</w:t>
      </w:r>
    </w:p>
    <w:p w14:paraId="1D37D5A4">
      <w:pPr>
        <w:pStyle w:val="13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将这几段代码的128改为256，</w:t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对比之前 128 神经元的准确率：</w:t>
      </w:r>
    </w:p>
    <w:p w14:paraId="748AFB17">
      <w:pPr>
        <w:pStyle w:val="13"/>
        <w:keepLines w:val="0"/>
        <w:widowControl/>
        <w:suppressLineNumbers w:val="0"/>
        <w:spacing w:before="0" w:after="0" w:line="360" w:lineRule="auto"/>
        <w:ind w:firstLine="480"/>
        <w:jc w:val="both"/>
        <w:rPr>
          <w:rFonts w:hint="default"/>
          <w:lang w:val="en-US"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将隐藏层由 128 个神经元增至 256 个后，参数量和模型容量均增加。结合本次运行结果进行比较，训练拟合能力有所增强；测试准确率是否提升仍取决于随机初始化、训练轮数和正则化设置，不能仅凭网络变宽推断必然改善。</w:t>
      </w:r>
    </w:p>
    <w:p w14:paraId="52A21BC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"Figure_12"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12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图12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1C3619C7">
      <w:pPr>
        <w:keepNext/>
        <w:keepLines/>
        <w:numPr>
          <w:ilvl w:val="0"/>
          <w:numId w:val="0"/>
        </w:numPr>
        <w:spacing w:before="60" w:after="40" w:line="240" w:lineRule="auto"/>
        <w:jc w:val="center"/>
        <w:rPr>
          <w:rFonts w:hint="eastAsia"/>
          <w:lang w:val="en-US" w:eastAsia="zh-CN"/>
        </w:rPr>
      </w:pPr>
      <w:bookmarkStart w:id="1012" w:name="Figure_12"/>
      <w:bookmarkStart w:id="11" w:name="Figure_1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431800"/>
            <wp:effectExtent l="0" t="0" r="5080" b="6350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32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1"/>
      <w:bookmarkEnd w:id="1012"/>
    </w:p>
    <w:p w14:paraId="6AE9CE44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图12  隐藏层宽度调整代码</w:t>
      </w:r>
    </w:p>
    <w:p w14:paraId="7E4AD3FA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"Figure_13"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13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图13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6CBE3A1A">
      <w:pPr>
        <w:keepNext/>
        <w:keepLines/>
        <w:numPr>
          <w:ilvl w:val="0"/>
          <w:numId w:val="0"/>
        </w:numPr>
        <w:spacing w:before="60" w:after="40" w:line="240" w:lineRule="auto"/>
        <w:jc w:val="center"/>
      </w:pPr>
      <w:bookmarkStart w:id="1013" w:name="Figure_13"/>
      <w:bookmarkStart w:id="12" w:name="Figure_1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235200"/>
            <wp:effectExtent l="0" t="0" r="5715" b="889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235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2"/>
      <w:bookmarkEnd w:id="1013"/>
    </w:p>
    <w:p w14:paraId="41968C67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图13  隐藏层宽度调整后的训练结果</w:t>
      </w:r>
    </w:p>
    <w:p w14:paraId="502228B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"Figure_14"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14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图14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5648FEFF">
      <w:pPr>
        <w:keepNext/>
        <w:keepLines/>
        <w:numPr>
          <w:ilvl w:val="0"/>
          <w:numId w:val="0"/>
        </w:numPr>
        <w:spacing w:before="60" w:after="40" w:line="240" w:lineRule="auto"/>
        <w:jc w:val="center"/>
      </w:pPr>
      <w:bookmarkStart w:id="1014" w:name="Figure_14"/>
      <w:bookmarkStart w:id="13" w:name="Figure_1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376170"/>
            <wp:effectExtent l="0" t="0" r="5080" b="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376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3"/>
      <w:bookmarkEnd w:id="1014"/>
    </w:p>
    <w:p w14:paraId="7948346B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图14  隐藏层宽度调整后的准确率曲线</w:t>
      </w:r>
    </w:p>
    <w:p w14:paraId="4EC4839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隐藏层宽度实验的量化结果见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"Table_1"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Table_1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表1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。</w:t>
      </w:r>
    </w:p>
    <w:p w14:paraId="02BF8D04">
      <w:pPr>
        <w:spacing w:before="0" w:after="120" w:line="240" w:lineRule="auto"/>
        <w:jc w:val="center"/>
      </w:pPr>
      <w:bookmarkStart w:id="2001" w:name="Table_1"/>
      <w:bookmarkStart w:id="14" w:name="Table_1"/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表1  隐藏层宽度对准确率和损失的影响</w:t>
      </w:r>
      <w:bookmarkEnd w:id="14"/>
      <w:bookmarkEnd w:id="2001"/>
    </w:p>
    <w:tbl>
      <w:tblPr>
        <w:tblStyle w:val="15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1"/>
        <w:gridCol w:w="2051"/>
        <w:gridCol w:w="2051"/>
        <w:gridCol w:w="1826"/>
        <w:gridCol w:w="1826"/>
      </w:tblGrid>
      <w:tr w14:paraId="36EBF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03A2A6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kern w:val="0"/>
                <w:sz w:val="21"/>
                <w:szCs w:val="21"/>
                <w:lang w:val="en-US" w:eastAsia="zh-CN" w:bidi="ar"/>
              </w:rPr>
              <w:t>隐藏层神经元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0233B6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kern w:val="0"/>
                <w:sz w:val="21"/>
                <w:szCs w:val="21"/>
                <w:lang w:val="en-US" w:eastAsia="zh-CN" w:bidi="ar"/>
              </w:rPr>
              <w:t>训练集最终准确率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35051E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kern w:val="0"/>
                <w:sz w:val="21"/>
                <w:szCs w:val="21"/>
                <w:lang w:val="en-US" w:eastAsia="zh-CN" w:bidi="ar"/>
              </w:rPr>
              <w:t>测试集最终准确率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1720BB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kern w:val="0"/>
                <w:sz w:val="21"/>
                <w:szCs w:val="21"/>
                <w:lang w:val="en-US" w:eastAsia="zh-CN" w:bidi="ar"/>
              </w:rPr>
              <w:t>训练集最终损失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F2A981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kern w:val="0"/>
                <w:sz w:val="21"/>
                <w:szCs w:val="21"/>
                <w:lang w:val="en-US" w:eastAsia="zh-CN" w:bidi="ar"/>
              </w:rPr>
              <w:t>测试集最终损失</w:t>
            </w:r>
          </w:p>
        </w:tc>
      </w:tr>
      <w:tr w14:paraId="7B421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0D4049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128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B0087D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98.72%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A1ECBE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97.37%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91682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0.0268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6F5323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0.0313</w:t>
            </w:r>
          </w:p>
        </w:tc>
      </w:tr>
      <w:tr w14:paraId="0FE95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FB03FB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256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5A69EE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99.01%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220A1D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97.90%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2B5C54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0.0199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26C528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0.0284</w:t>
            </w:r>
          </w:p>
        </w:tc>
      </w:tr>
    </w:tbl>
    <w:p w14:paraId="7D117D94">
      <w:pPr>
        <w:pStyle w:val="13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将隐藏层神经元数量由 128 修改为 256，本实验组严格控制变量，</w:t>
      </w:r>
      <w:r>
        <w:rPr>
          <w:rStyle w:val="18"/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数据集划分方式、训练迭代轮数、优化器、学习率、随机种子全部保持一致，仅修改隐藏层神经元个数</w:t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，消除其他因素对实验结果带来的干扰，实验结果如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"Table_1"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Table_1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表1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0AAA7FFB">
      <w:pPr>
        <w:pStyle w:val="13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由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"Table_1"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Table_1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表1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可以看出，隐藏层神经元从 128 增加到 256 后，训练集准确率由 98.72% 提升至 99.01%，训练损失由 0.0268 降低至 0.0199；测试集准确率由 97.37% 提升至 97.90%，测试损失由 0.0313 降低至 0.0284。增大隐藏层神经元数量扩大了模型容量，模型学习特征的能力变强，在 MNIST 手写数字识别任务上训练、测试指标均有小幅提升。 但需要注意，神经元数量不是越大性能就一定越好。当任务复杂度升高、数据集样本有限时，一味增大神经元数目，会出现训练集效果持续变好，但测试集性能下降的过拟合现象。</w:t>
      </w:r>
    </w:p>
    <w:p w14:paraId="453A8A57">
      <w:pPr>
        <w:pStyle w:val="3"/>
        <w:numPr>
          <w:ilvl w:val="0"/>
          <w:numId w:val="0"/>
        </w:numPr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3.3  优化器对比</w:t>
      </w:r>
    </w:p>
    <w:p w14:paraId="60E488A8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将Adam替换成SGD观察收敛速度</w:t>
      </w:r>
    </w:p>
    <w:p w14:paraId="0E212DEA">
      <w:pPr>
        <w:numPr>
          <w:ilvl w:val="0"/>
          <w:numId w:val="0"/>
        </w:num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在学习率等设置保持一致的本次实验中，Adam 前期准确率提升更快；SGD 的收敛较缓慢。该结果与优化器的自适应学习率机制有关，但公平比较还应分别调节学习率并重复多次实验。</w:t>
      </w:r>
    </w:p>
    <w:p w14:paraId="17E4CDC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"Figure_15"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15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图15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08BDAF13">
      <w:pPr>
        <w:keepNext/>
        <w:keepLines/>
        <w:spacing w:before="60" w:after="40" w:line="240" w:lineRule="auto"/>
        <w:jc w:val="center"/>
      </w:pPr>
      <w:bookmarkStart w:id="1015" w:name="Figure_15"/>
      <w:bookmarkStart w:id="15" w:name="Figure_1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593340"/>
            <wp:effectExtent l="0" t="0" r="8890" b="1206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93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5"/>
      <w:bookmarkEnd w:id="1015"/>
    </w:p>
    <w:p w14:paraId="722BD316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图15  Adam 优化器训练结果</w:t>
      </w:r>
    </w:p>
    <w:p w14:paraId="1ECEF5D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"Figure_16"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16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图16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68CE5F48">
      <w:pPr>
        <w:keepNext/>
        <w:keepLines/>
        <w:spacing w:before="60" w:after="40" w:line="240" w:lineRule="auto"/>
        <w:jc w:val="center"/>
      </w:pPr>
      <w:bookmarkStart w:id="1016" w:name="Figure_16"/>
      <w:bookmarkStart w:id="16" w:name="Figure_1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710815"/>
            <wp:effectExtent l="0" t="0" r="5715" b="825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710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6"/>
      <w:bookmarkEnd w:id="1016"/>
    </w:p>
    <w:p w14:paraId="2DB721E0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图16  SGD 优化器训练结果</w:t>
      </w:r>
    </w:p>
    <w:p w14:paraId="3AF04650">
      <w:pPr>
        <w:pStyle w:val="13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本实验将优化器由 Adam 替换为 SGD，严格控制变量：数据集划分方式、网络结构、隐藏层神经元数量、最大训练轮数、随机种子保持一致，仅改变优化器类型与适配学习率。其中 Adam 学习率设置为 0.001，SGD 学习率设置为 0.01。SGD 优化器训练日志如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"Figure_16"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16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图16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 xml:space="preserve"> 所示，两种优化器量化对比结果如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"Table_2"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Table_2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表2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 xml:space="preserve"> 所示。</w:t>
      </w:r>
    </w:p>
    <w:p w14:paraId="3BF1D18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Adam与SGD优化器的量化对比结果见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"Table_2"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Table_2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表2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。</w:t>
      </w:r>
    </w:p>
    <w:p w14:paraId="4E98553A">
      <w:pPr>
        <w:spacing w:before="0" w:after="120" w:line="240" w:lineRule="auto"/>
        <w:jc w:val="center"/>
      </w:pPr>
      <w:bookmarkStart w:id="2002" w:name="Table_2"/>
      <w:bookmarkStart w:id="17" w:name="Table_2"/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表2  Adam与SGD优化器对比</w:t>
      </w:r>
      <w:bookmarkEnd w:id="17"/>
      <w:bookmarkEnd w:id="2002"/>
    </w:p>
    <w:tbl>
      <w:tblPr>
        <w:tblStyle w:val="15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6"/>
        <w:gridCol w:w="896"/>
        <w:gridCol w:w="3488"/>
        <w:gridCol w:w="1978"/>
        <w:gridCol w:w="2097"/>
      </w:tblGrid>
      <w:tr w14:paraId="582BB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66E921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kern w:val="0"/>
                <w:sz w:val="21"/>
                <w:szCs w:val="21"/>
                <w:lang w:val="en-US" w:eastAsia="zh-CN" w:bidi="ar"/>
              </w:rPr>
              <w:t>优化器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C16271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kern w:val="0"/>
                <w:sz w:val="21"/>
                <w:szCs w:val="21"/>
                <w:lang w:val="en-US" w:eastAsia="zh-CN" w:bidi="ar"/>
              </w:rPr>
              <w:t>学习率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70D4A8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kern w:val="0"/>
                <w:sz w:val="21"/>
                <w:szCs w:val="21"/>
                <w:lang w:val="en-US" w:eastAsia="zh-CN" w:bidi="ar"/>
              </w:rPr>
              <w:t>达到 97% 测试准确率所需 epoch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F34953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kern w:val="0"/>
                <w:sz w:val="21"/>
                <w:szCs w:val="21"/>
                <w:lang w:val="en-US" w:eastAsia="zh-CN" w:bidi="ar"/>
              </w:rPr>
              <w:t>最终测试集准确率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E2DE4C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kern w:val="0"/>
                <w:sz w:val="21"/>
                <w:szCs w:val="21"/>
                <w:lang w:val="en-US" w:eastAsia="zh-CN" w:bidi="ar"/>
              </w:rPr>
              <w:t>5 轮训练总耗时 (s)</w:t>
            </w:r>
          </w:p>
        </w:tc>
      </w:tr>
      <w:tr w14:paraId="04C81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98D9CB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Adam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51C448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0.001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599A97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B7F214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97.37%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67258B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28</w:t>
            </w:r>
          </w:p>
        </w:tc>
      </w:tr>
      <w:tr w14:paraId="2837A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6A53C2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SGD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64081F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0.01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7219EC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1CCA52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97.12%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21636A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27</w:t>
            </w:r>
          </w:p>
        </w:tc>
      </w:tr>
    </w:tbl>
    <w:p w14:paraId="1C43734A">
      <w:pPr>
        <w:pStyle w:val="13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表注：硬件环境为 CPU，最大训练轮数设置为 5，网络隐藏层神经元数量为 128，随机种子固定，数据集划分完全一致。</w:t>
      </w:r>
    </w:p>
    <w:p w14:paraId="28BC992E">
      <w:pPr>
        <w:pStyle w:val="13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由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"Figure_16"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16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图16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 xml:space="preserve"> 可见，SGD 初始损失为 2.3464，损失整体下降趋势平缓，下降速度慢于 Adam。结合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"Table_2"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Table_2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表2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 xml:space="preserve"> 分析：在收敛速度方面，Adam 仅需要 2 个 epoch 测试准确率即可达到 97%，而 SGD 训练至 5 轮结束才接近该精度，收敛速度明显更慢。Adam 融合一阶动量与二阶动量，具备自适应学习率特性，参数更新效率更高；SGD 仅依靠梯度信息更新参数，缺少自适应调节机制，收敛更平缓。在最终测试准确率上，5 轮训练结束后 Adam 测试准确率为 97.37%，SGD 为 97.12%，SGD 精度略低，说明在同等轮次限制下 SGD 无法充分收敛；若继续增加训练轮次，SGD 仍有机会逼近 Adam 的精度。在训练耗时上，二者单轮计算量接近，总耗时差距不大，但 SGD 需要更多迭代轮次才能达到同等精度，收敛效率更低。综上，Adam 收敛速度更快，可在较少轮次下取得理想精度；SGD 收敛缓慢，需要搭配更大的学习率以及更多训练轮次，才能够获得相近的泛化效果。</w:t>
      </w:r>
    </w:p>
    <w:p w14:paraId="2FC2CC00">
      <w:pPr>
        <w:pStyle w:val="3"/>
        <w:numPr>
          <w:ilvl w:val="0"/>
          <w:numId w:val="0"/>
        </w:numPr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3.4  问题分析与解决方案</w:t>
      </w:r>
    </w:p>
    <w:p w14:paraId="2EB065BD">
      <w:pPr>
        <w:pStyle w:val="33"/>
        <w:numPr>
          <w:ilvl w:val="0"/>
          <w:numId w:val="0"/>
        </w:numPr>
        <w:spacing w:before="120" w:after="120" w:line="240" w:lineRule="auto"/>
        <w:jc w:val="left"/>
        <w:rPr>
          <w:rFonts w:hint="default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28"/>
          <w:szCs w:val="28"/>
          <w:bCs w:val="1"/>
        </w:rPr>
        <w:t>3.4.1  缺少绘图库</w:t>
      </w:r>
    </w:p>
    <w:p w14:paraId="1104329E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当前 PyTorch Conda 环境缺少 matplotlib 库，绘图语句因而无法执行。</w:t>
      </w:r>
    </w:p>
    <w:p w14:paraId="147E6E3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"Figure_17"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17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图17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7BD99C13">
      <w:pPr>
        <w:keepNext/>
        <w:keepLines/>
        <w:spacing w:before="60" w:after="40" w:line="240" w:lineRule="auto"/>
        <w:jc w:val="center"/>
      </w:pPr>
      <w:bookmarkStart w:id="1017" w:name="Figure_17"/>
      <w:bookmarkStart w:id="18" w:name="Figure_1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617855"/>
            <wp:effectExtent l="0" t="0" r="10795" b="508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617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8"/>
      <w:bookmarkEnd w:id="1017"/>
    </w:p>
    <w:p w14:paraId="207C2532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图17  缺少绘图库时的报错信息</w:t>
      </w:r>
    </w:p>
    <w:p w14:paraId="60BAD553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  <w:b w:val="0"/>
          <w:bCs w:val="0"/>
        </w:rPr>
        <w:t>解决方法</w:t>
      </w:r>
    </w:p>
    <w:p w14:paraId="3C1B31D7">
      <w:pPr>
        <w:pStyle w:val="12"/>
        <w:keepLines w:val="0"/>
        <w:widowControl/>
        <w:suppressLineNumbers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打开 Anaconda Prompt：</w:t>
      </w:r>
    </w:p>
    <w:p w14:paraId="53E56FA4">
      <w:pPr>
        <w:pStyle w:val="12"/>
        <w:keepLines w:val="0"/>
        <w:widowControl/>
        <w:suppressLineNumbers w:val="0"/>
        <w:spacing w:before="0" w:after="0" w:line="360" w:lineRule="auto"/>
        <w:ind w:firstLine="480"/>
        <w:jc w:val="both"/>
        <w:rPr>
          <w:rStyle w:val="21"/>
          <w:rFonts w:hint="default" w:ascii="Consolas" w:hAnsi="Consolas" w:eastAsia="Consolas" w:cs="Consolas"/>
        </w:rPr>
      </w:pPr>
      <w:r>
        <w:rPr>
          <w:rStyle w:val="21"/>
          <w:rFonts w:hint="default"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conda activate pytorch</w:t>
      </w:r>
    </w:p>
    <w:p w14:paraId="01F66644">
      <w:pPr>
        <w:pStyle w:val="12"/>
        <w:keepLines w:val="0"/>
        <w:widowControl/>
        <w:suppressLineNumbers w:val="0"/>
        <w:spacing w:before="0" w:after="0" w:line="360" w:lineRule="auto"/>
        <w:ind w:firstLine="480"/>
        <w:jc w:val="both"/>
        <w:rPr>
          <w:rStyle w:val="21"/>
          <w:rFonts w:hint="default" w:ascii="Consolas" w:hAnsi="Consolas" w:eastAsia="Consolas" w:cs="Consolas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pip install matplotlib -i https://pypi.tuna.tsinghua.edu.cn/simple</w:t>
      </w:r>
    </w:p>
    <w:p w14:paraId="7BD4B2C9">
      <w:pPr>
        <w:pStyle w:val="12"/>
        <w:keepLines w:val="0"/>
        <w:widowControl/>
        <w:suppressLineNumbers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激活正确环境后安装 matplotlib，即可恢复绘图功能。</w:t>
      </w:r>
    </w:p>
    <w:p w14:paraId="6283C270">
      <w:pPr>
        <w:pStyle w:val="33"/>
        <w:keepLines w:val="0"/>
        <w:widowControl/>
        <w:suppressLineNumbers w:val="0"/>
        <w:spacing w:before="120" w:after="120" w:line="240" w:lineRule="auto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28"/>
          <w:szCs w:val="28"/>
          <w:bCs w:val="1"/>
        </w:rPr>
        <w:t>3.4.2  数据保存路径错误</w:t>
      </w:r>
    </w:p>
    <w:p w14:paraId="3E52B284">
      <w:pPr>
        <w:bidi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代码中写死了其他用户的目录 C:\Users\think，当前账户无法在该路径创建文件，因此出现路径不存在或权限被拒绝的错误。</w:t>
      </w:r>
    </w:p>
    <w:p w14:paraId="340D41C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"Figure_18"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18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图18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73A95C7C">
      <w:pPr>
        <w:keepNext/>
        <w:keepLines/>
        <w:spacing w:before="60" w:after="40" w:line="240" w:lineRule="auto"/>
        <w:jc w:val="center"/>
      </w:pPr>
      <w:bookmarkStart w:id="1018" w:name="Figure_18"/>
      <w:bookmarkStart w:id="19" w:name="Figure_1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1221105"/>
            <wp:effectExtent l="0" t="0" r="13970" b="4445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22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9"/>
      <w:bookmarkEnd w:id="1018"/>
    </w:p>
    <w:p w14:paraId="790FC823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图18  数据路径不匹配导致的报错信息</w:t>
      </w:r>
    </w:p>
    <w:p w14:paraId="06193231">
      <w:pPr>
        <w:bidi w:val="0"/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  <w:b w:val="0"/>
          <w:bCs w:val="0"/>
        </w:rPr>
        <w:t>解决方法</w:t>
      </w:r>
    </w:p>
    <w:p w14:paraId="77672D44">
      <w:pPr>
        <w:pStyle w:val="12"/>
        <w:keepLines w:val="0"/>
        <w:widowControl/>
        <w:suppressLineNumbers w:val="0"/>
        <w:spacing w:before="0" w:after="0" w:line="360" w:lineRule="auto"/>
        <w:ind w:firstLine="480"/>
        <w:jc w:val="both"/>
        <w:rPr>
          <w:rFonts w:ascii="Consolas" w:hAnsi="Consolas" w:eastAsia="Consolas" w:cs="Consolas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  <w:b w:val="0"/>
          <w:bCs w:val="0"/>
        </w:rPr>
        <w:t>将路径改成</w:t>
      </w:r>
      <w:r>
        <w:rPr>
          <w:rStyle w:val="21"/>
          <w:rFonts w:hint="default"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local_data_path = r"C:\Users\付镇远\PycharmProjects\PythonProject\DL_data"</w:t>
      </w:r>
    </w:p>
    <w:p w14:paraId="5E9EAC52">
      <w:pPr>
        <w:bidi w:val="0"/>
        <w:spacing w:before="0" w:after="0" w:line="360" w:lineRule="auto"/>
        <w:ind w:firstLine="48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  <w:b w:val="0"/>
          <w:bCs w:val="0"/>
        </w:rPr>
        <w:t>即可解决</w:t>
      </w:r>
    </w:p>
    <w:p w14:paraId="0F2ADA8B">
      <w:pPr>
        <w:pStyle w:val="2"/>
        <w:numPr>
          <w:ilvl w:val="0"/>
          <w:numId w:val="2"/>
        </w:numPr>
        <w:spacing w:before="340" w:after="330" w:line="240" w:lineRule="auto"/>
        <w:ind w:leftChars="0"/>
        <w:jc w:val="left"/>
      </w:pPr>
      <w:r>
        <w:rPr>
          <w:rFonts w:ascii="Times New Roman" w:hAnsi="Times New Roman" w:eastAsia="黑体" w:cs="Times New Roman"/>
          <w:b w:val="1"/>
          <w:color w:val="000000"/>
          <w:sz w:val="44"/>
          <w:szCs w:val="44"/>
          <w:bCs w:val="1"/>
        </w:rPr>
        <w:t>4  检查点保存与继续训练</w:t>
      </w:r>
    </w:p>
    <w:p w14:paraId="7BF8AFE1">
      <w:pPr>
        <w:pStyle w:val="3"/>
        <w:numPr>
          <w:ilvl w:val="0"/>
          <w:numId w:val="0"/>
        </w:numPr>
        <w:bidi w:val="0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4.1  连续训练的基线结果</w:t>
      </w:r>
    </w:p>
    <w:p w14:paraId="57783EB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"Figure_19"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19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图19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090C35A4">
      <w:pPr>
        <w:keepNext/>
        <w:keepLines/>
        <w:numPr>
          <w:ilvl w:val="0"/>
          <w:numId w:val="0"/>
        </w:numPr>
        <w:bidi w:val="0"/>
        <w:spacing w:before="60" w:after="40" w:line="240" w:lineRule="auto"/>
        <w:jc w:val="center"/>
      </w:pPr>
      <w:bookmarkStart w:id="1019" w:name="Figure_19"/>
      <w:bookmarkStart w:id="20" w:name="Figure_1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1190625"/>
            <wp:effectExtent l="0" t="0" r="10795" b="5080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190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0"/>
      <w:bookmarkEnd w:id="1019"/>
    </w:p>
    <w:p w14:paraId="7B858F7C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图19  连续训练的基线结果</w:t>
      </w:r>
    </w:p>
    <w:p w14:paraId="08D14361">
      <w:pPr>
        <w:pStyle w:val="3"/>
        <w:numPr>
          <w:ilvl w:val="0"/>
          <w:numId w:val="0"/>
        </w:numPr>
        <w:bidi w:val="0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4.2  从检查点恢复训练的结果</w:t>
      </w:r>
    </w:p>
    <w:p w14:paraId="123826D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"Figure_20"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20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图20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6D05636F">
      <w:pPr>
        <w:keepNext/>
        <w:keepLines/>
        <w:numPr>
          <w:ilvl w:val="0"/>
          <w:numId w:val="0"/>
        </w:numPr>
        <w:bidi w:val="0"/>
        <w:spacing w:before="60" w:after="40" w:line="240" w:lineRule="auto"/>
        <w:jc w:val="center"/>
      </w:pPr>
      <w:bookmarkStart w:id="1020" w:name="Figure_20"/>
      <w:bookmarkStart w:id="21" w:name="Figure_2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1247775"/>
            <wp:effectExtent l="0" t="0" r="5080" b="4445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247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1"/>
      <w:bookmarkEnd w:id="1020"/>
    </w:p>
    <w:p w14:paraId="689106AF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图20  从检查点恢复训练的运行结果</w:t>
      </w:r>
    </w:p>
    <w:p w14:paraId="6C18C7D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本实验的 checkpoint 检查点文件内同时保存</w:t>
      </w:r>
      <w:r>
        <w:rPr>
          <w:rStyle w:val="21"/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model_state_dict</w:t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、</w:t>
      </w:r>
      <w:r>
        <w:rPr>
          <w:rStyle w:val="21"/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optimizer_state_dict</w:t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以及 epoch 信息。其中</w:t>
      </w:r>
      <w:r>
        <w:rPr>
          <w:rStyle w:val="21"/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model_state_dict</w:t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存储模型权重参数，</w:t>
      </w:r>
      <w:r>
        <w:rPr>
          <w:rStyle w:val="21"/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optimizer_state_dict</w:t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存储优化器内部状态，epoch 记录当前训练轮次，保证恢复训练时模型、优化器状态与训练进度完整承接。 由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"Figure_20"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20" w:history="1">
        <w:r>
          <w:rPr>
            <w:rFonts w:ascii="Times New Roman" w:hAnsi="Times New Roman" w:eastAsia="宋体" w:cs="Times New Roman"/>
            <w:color w:val="0563C1"/>
            <w:sz w:val="24"/>
            <w:szCs w:val="24"/>
            <w:u w:val="single"/>
            <w:b w:val="0"/>
            <w:bCs w:val="0"/>
          </w:rPr>
          <w:t>图 20</w:t>
        </w:r>
      </w:hyperlink>
      <w:r>
        <w:rPr>
          <w:rFonts w:ascii="Times New Roman" w:hAnsi="Times New Roman" w:eastAsia="宋体" w:cs="Times New Roman"/>
          <w:color w:val="0563C1"/>
          <w:sz w:val="24"/>
          <w:szCs w:val="24"/>
          <w:u w:val="single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 xml:space="preserve"> 可知，第 5 轮训练结束保存断点时，损失为 178.4466；加载该断点恢复后，第 6 轮损失会在 178.4466 基础上继续下降，不会跳回首轮 544.2715 的初始损失。损失平滑连续下降，不存在从头训练时的损失跳变，证明训练是从断点位置接续执行，而不是参数初始化后重新开始训练。若仅保存模型权重、不保存优化器状态，带动量的优化器将丢失动量信息，续训的收敛特性会发生改变。</w:t>
      </w:r>
    </w:p>
    <w:p w14:paraId="23BEC59A">
      <w:pPr>
        <w:pStyle w:val="2"/>
        <w:numPr>
          <w:ilvl w:val="0"/>
          <w:numId w:val="0"/>
        </w:numPr>
        <w:bidi w:val="0"/>
        <w:spacing w:before="340" w:after="330" w:line="240" w:lineRule="auto"/>
        <w:ind w:leftChars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44"/>
          <w:szCs w:val="44"/>
          <w:bCs w:val="1"/>
        </w:rPr>
        <w:t>5  CNN 手写数字识别</w:t>
      </w:r>
    </w:p>
    <w:p w14:paraId="77CB24A2">
      <w:pPr>
        <w:pStyle w:val="3"/>
        <w:spacing w:before="260" w:after="260" w:line="240" w:lineRule="auto"/>
        <w:jc w:val="left"/>
        <w:rPr>
          <w:rFonts w:hint="default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5.1  CNN 运行结果</w:t>
      </w:r>
    </w:p>
    <w:p w14:paraId="1560EF3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"Figure_21"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21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图21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17BB4857">
      <w:pPr>
        <w:keepNext/>
        <w:keepLines/>
        <w:numPr>
          <w:ilvl w:val="0"/>
          <w:numId w:val="0"/>
        </w:numPr>
        <w:bidi w:val="0"/>
        <w:spacing w:before="60" w:after="40" w:line="240" w:lineRule="auto"/>
        <w:jc w:val="center"/>
      </w:pPr>
      <w:bookmarkStart w:id="1021" w:name="Figure_21"/>
      <w:bookmarkStart w:id="22" w:name="Figure_2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518410"/>
            <wp:effectExtent l="0" t="0" r="8255" b="7620"/>
            <wp:docPr id="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18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2"/>
      <w:bookmarkEnd w:id="1021"/>
    </w:p>
    <w:p w14:paraId="4EC5E490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图21  CNN 手写数字识别训练结果</w:t>
      </w:r>
    </w:p>
    <w:p w14:paraId="04D4717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"Figure_22"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22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图22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20155732">
      <w:pPr>
        <w:keepNext/>
        <w:keepLines/>
        <w:spacing w:before="60" w:after="40" w:line="240" w:lineRule="auto"/>
        <w:jc w:val="center"/>
      </w:pPr>
      <w:bookmarkStart w:id="1022" w:name="Figure_22"/>
      <w:bookmarkStart w:id="23" w:name="Figure_2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165985"/>
            <wp:effectExtent l="0" t="0" r="9525" b="12700"/>
            <wp:docPr id="2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66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3"/>
      <w:bookmarkEnd w:id="1022"/>
    </w:p>
    <w:p w14:paraId="6A7B28D2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图22  CNN 手写数字识别准确率曲线</w:t>
      </w:r>
    </w:p>
    <w:p w14:paraId="547E2503">
      <w:pPr>
        <w:pStyle w:val="3"/>
        <w:numPr>
          <w:ilvl w:val="0"/>
          <w:numId w:val="0"/>
        </w:numPr>
        <w:bidi w:val="0"/>
        <w:spacing w:before="260" w:after="260" w:line="240" w:lineRule="auto"/>
        <w:jc w:val="left"/>
        <w:rPr>
          <w:rFonts w:hint="eastAsia" w:eastAsia="宋体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5.2  课堂练习分析</w:t>
      </w:r>
    </w:p>
    <w:p w14:paraId="4C44AF10">
      <w:pPr>
        <w:pStyle w:val="33"/>
        <w:numPr>
          <w:ilvl w:val="0"/>
          <w:numId w:val="0"/>
        </w:numPr>
        <w:bidi w:val="0"/>
        <w:spacing w:before="120" w:after="120" w:line="24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 w:cs="Times New Roman"/>
          <w:b w:val="1"/>
          <w:color w:val="000000"/>
          <w:sz w:val="28"/>
          <w:szCs w:val="28"/>
          <w:bCs w:val="1"/>
        </w:rPr>
        <w:t>5.2.1  哪些语句实现图像张量化？</w:t>
      </w:r>
    </w:p>
    <w:p w14:paraId="22A5DFA9">
      <w:pPr>
        <w:numPr>
          <w:ilvl w:val="0"/>
          <w:numId w:val="0"/>
        </w:numPr>
        <w:bidi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Style w:val="21"/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transforms.ToTensor()</w:t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实现将图像转化为张量，它会把图片转为张量，像素值从 0~255 缩放到 0~1，同时调整维度顺序，适配 CNN 网络输入格式。</w:t>
      </w:r>
    </w:p>
    <w:p w14:paraId="43B87A85">
      <w:pPr>
        <w:pStyle w:val="33"/>
        <w:numPr>
          <w:ilvl w:val="0"/>
          <w:numId w:val="0"/>
        </w:numPr>
        <w:bidi w:val="0"/>
        <w:spacing w:before="120" w:after="120" w:line="240" w:lineRule="auto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黑体" w:cs="Times New Roman"/>
          <w:b w:val="1"/>
          <w:color w:val="000000"/>
          <w:sz w:val="28"/>
          <w:szCs w:val="28"/>
          <w:bCs w:val="1"/>
        </w:rPr>
        <w:t>5.2.2  卷积核数量减半对准确率的影响</w:t>
      </w:r>
    </w:p>
    <w:p w14:paraId="4EAE6BE0">
      <w:pPr>
        <w:numPr>
          <w:ilvl w:val="0"/>
          <w:numId w:val="0"/>
        </w:numPr>
        <w:bidi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将卷积核数量由 32/64 减为 16/32 会减少参数量和计算量，通常可加快训练，但也降低特征表达容量。准确率是否下降应以相同数据划分、随机种子和训练轮数下的实测结果为准；容量不足时更容易欠拟合。</w:t>
      </w:r>
    </w:p>
    <w:p w14:paraId="5F4A907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"Figure_23"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23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图23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6D5B07FC">
      <w:pPr>
        <w:keepNext/>
        <w:keepLines/>
        <w:numPr>
          <w:ilvl w:val="0"/>
          <w:numId w:val="0"/>
        </w:numPr>
        <w:bidi w:val="0"/>
        <w:spacing w:before="60" w:after="40" w:line="240" w:lineRule="auto"/>
        <w:jc w:val="center"/>
        <w:rPr>
          <w:rFonts w:ascii="宋体" w:hAnsi="宋体" w:eastAsia="宋体" w:cs="宋体"/>
          <w:sz w:val="24"/>
          <w:szCs w:val="24"/>
        </w:rPr>
      </w:pPr>
      <w:bookmarkStart w:id="1023" w:name="Figure_23"/>
      <w:bookmarkStart w:id="24" w:name="Figure_2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418715"/>
            <wp:effectExtent l="0" t="0" r="5715" b="8890"/>
            <wp:docPr id="2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41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4"/>
      <w:bookmarkEnd w:id="1023"/>
    </w:p>
    <w:p w14:paraId="3D0BFCEF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图23  卷积核数量调整后的训练结果</w:t>
      </w:r>
    </w:p>
    <w:p w14:paraId="7B0AA09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"Figure_24"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24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图24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3F9FD5D8">
      <w:pPr>
        <w:keepNext/>
        <w:keepLines/>
        <w:spacing w:before="60" w:after="40" w:line="240" w:lineRule="auto"/>
        <w:jc w:val="center"/>
      </w:pPr>
      <w:bookmarkStart w:id="1024" w:name="Figure_24"/>
      <w:bookmarkStart w:id="25" w:name="Figure_2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361565"/>
            <wp:effectExtent l="0" t="0" r="0" b="0"/>
            <wp:docPr id="2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362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5"/>
      <w:bookmarkEnd w:id="1024"/>
    </w:p>
    <w:p w14:paraId="732570C0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图24  卷积核数量调整后的准确率曲线</w:t>
      </w:r>
    </w:p>
    <w:p w14:paraId="44E161E4">
      <w:pPr>
        <w:pStyle w:val="33"/>
        <w:numPr>
          <w:ilvl w:val="0"/>
          <w:numId w:val="0"/>
        </w:numPr>
        <w:bidi w:val="0"/>
        <w:spacing w:before="120" w:after="120" w:line="24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 w:cs="Times New Roman"/>
          <w:b w:val="1"/>
          <w:color w:val="000000"/>
          <w:sz w:val="28"/>
          <w:szCs w:val="28"/>
          <w:bCs w:val="1"/>
        </w:rPr>
        <w:t>5.2.3  移除 Dropout 的影响</w:t>
      </w:r>
    </w:p>
    <w:p w14:paraId="5875C232">
      <w:pPr>
        <w:numPr>
          <w:ilvl w:val="0"/>
          <w:numId w:val="0"/>
        </w:numPr>
        <w:bidi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去掉 Dropout 后，训练阶段不再进行随机失活，训练集拟合通常更充分，但正则化作用减弱，过拟合风险增加。是否影响测试准确率及影响幅度需结合训练集与测试集曲线判断。</w:t>
      </w:r>
    </w:p>
    <w:p w14:paraId="6EEAD5D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"Figure_25"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25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图25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3CCEE3F8">
      <w:pPr>
        <w:keepNext/>
        <w:keepLines/>
        <w:spacing w:before="60" w:after="40" w:line="240" w:lineRule="auto"/>
        <w:jc w:val="center"/>
      </w:pPr>
      <w:bookmarkStart w:id="1025" w:name="Figure_25"/>
      <w:bookmarkStart w:id="26" w:name="Figure_2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360930"/>
            <wp:effectExtent l="0" t="0" r="8255" b="10160"/>
            <wp:docPr id="2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361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6"/>
      <w:bookmarkEnd w:id="1025"/>
    </w:p>
    <w:p w14:paraId="6AFD0792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图25  移除 Dropout 后的训练结果</w:t>
      </w:r>
    </w:p>
    <w:p w14:paraId="71EB75B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"Figure_26"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26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图26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3E75EDCF">
      <w:pPr>
        <w:keepNext/>
        <w:keepLines/>
        <w:spacing w:before="60" w:after="40" w:line="240" w:lineRule="auto"/>
        <w:jc w:val="center"/>
      </w:pPr>
      <w:bookmarkStart w:id="1026" w:name="Figure_26"/>
      <w:bookmarkStart w:id="27" w:name="Figure_2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062480"/>
            <wp:effectExtent l="0" t="0" r="0" b="0"/>
            <wp:docPr id="3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062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7"/>
      <w:bookmarkEnd w:id="1026"/>
    </w:p>
    <w:p w14:paraId="64652900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图26  移除 Dropout 后的准确率曲线</w:t>
      </w:r>
    </w:p>
    <w:p w14:paraId="10AF606C">
      <w:pPr>
        <w:pStyle w:val="33"/>
        <w:numPr>
          <w:ilvl w:val="0"/>
          <w:numId w:val="0"/>
        </w:numPr>
        <w:bidi w:val="0"/>
        <w:spacing w:before="120" w:after="120" w:line="24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 w:cs="Times New Roman"/>
          <w:b w:val="1"/>
          <w:color w:val="000000"/>
          <w:sz w:val="28"/>
          <w:szCs w:val="28"/>
          <w:bCs w:val="1"/>
        </w:rPr>
        <w:t>5.2.4  增加第三个卷积层的影响</w:t>
      </w:r>
    </w:p>
    <w:p w14:paraId="77795FF1">
      <w:pPr>
        <w:numPr>
          <w:ilvl w:val="0"/>
          <w:numId w:val="0"/>
        </w:numPr>
        <w:bidi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增加第 3 个卷积层可扩大模型容量并提取更高层特征，但 MNIST 图像结构较简单，新增层未必带来明显收益。结果还受到卷积核大小、池化方式、学习率和训练轮数影响，应通过对照实验判断。</w:t>
      </w:r>
    </w:p>
    <w:p w14:paraId="500D593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"Figure_27"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27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图27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4F9A5442">
      <w:pPr>
        <w:keepNext/>
        <w:keepLines/>
        <w:numPr>
          <w:ilvl w:val="0"/>
          <w:numId w:val="0"/>
        </w:numPr>
        <w:bidi w:val="0"/>
        <w:spacing w:before="60" w:after="40" w:line="240" w:lineRule="auto"/>
        <w:jc w:val="center"/>
      </w:pPr>
      <w:bookmarkStart w:id="1027" w:name="Figure_27"/>
      <w:bookmarkStart w:id="28" w:name="Figure_2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277745"/>
            <wp:effectExtent l="0" t="0" r="5080" b="2540"/>
            <wp:docPr id="3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278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8"/>
      <w:bookmarkEnd w:id="1027"/>
    </w:p>
    <w:p w14:paraId="12E34DD8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图27  增加第三个卷积层后的训练结果</w:t>
      </w:r>
    </w:p>
    <w:p w14:paraId="69A4A1E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"Figure_28"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28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图28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65AC3084">
      <w:pPr>
        <w:keepNext/>
        <w:keepLines/>
        <w:spacing w:before="60" w:after="40" w:line="240" w:lineRule="auto"/>
        <w:jc w:val="center"/>
      </w:pPr>
      <w:bookmarkStart w:id="1028" w:name="Figure_28"/>
      <w:bookmarkStart w:id="29" w:name="Figure_2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219325"/>
            <wp:effectExtent l="0" t="0" r="0" b="0"/>
            <wp:docPr id="3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219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9"/>
      <w:bookmarkEnd w:id="1028"/>
    </w:p>
    <w:p w14:paraId="7AB14CAF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图28  增加第三个卷积层后的准确率曲线</w:t>
      </w:r>
    </w:p>
    <w:p w14:paraId="46BF1C12">
      <w:pPr>
        <w:pStyle w:val="13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本次设置四组对照实验，仅调整卷积核数量、Dropout 层以及卷积层数，其余训练条件保持一致。基线组卷积核为 32/64、包含 Dropout，测试准确率 98.88%；卷积核改为 16/32 后，模型参数量减少，测试准确率 98.92%；移除 Dropout 层后，测试准确率 98.93%；增加第三个卷积层后，模型参数量提升，测试准确率达到 99.31%，为四组中最高。</w:t>
      </w:r>
    </w:p>
    <w:p w14:paraId="3ACDDA4D">
      <w:pPr>
        <w:pStyle w:val="13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对比实验结果可知：减少卷积核数量，模型参数量下降，训练速度更快，在本数据集上测试精度小幅波动；移除 Dropout 后正则约束消失，训练更容易拟合，测试准确率变化不大；增加卷积层能够提升特征提取能力，模型最终测试效果最优。总体来看，增加网络深度对识别精度提升效果明显，Dropout 起到抑制过拟合的作用，卷积通道数减少可降低计算开销。</w:t>
      </w:r>
    </w:p>
    <w:p w14:paraId="25961E2B">
      <w:pPr>
        <w:pStyle w:val="2"/>
        <w:numPr>
          <w:ilvl w:val="0"/>
          <w:numId w:val="0"/>
        </w:numPr>
        <w:bidi w:val="0"/>
        <w:spacing w:before="340" w:after="330" w:line="240" w:lineRule="auto"/>
        <w:ind w:leftChars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44"/>
          <w:szCs w:val="44"/>
          <w:bCs w:val="1"/>
        </w:rPr>
        <w:t>6  猫狗图像识别</w:t>
      </w:r>
    </w:p>
    <w:p w14:paraId="5D7EDE33">
      <w:pPr>
        <w:pStyle w:val="3"/>
        <w:numPr>
          <w:ilvl w:val="0"/>
          <w:numId w:val="0"/>
        </w:numPr>
        <w:bidi w:val="0"/>
        <w:spacing w:before="260" w:after="260" w:line="240" w:lineRule="auto"/>
        <w:jc w:val="left"/>
        <w:rPr>
          <w:rFonts w:ascii="Times New Roman" w:hAnsi="Times New Roman" w:eastAsia="黑体"/>
          <w:b/>
          <w:sz w:val="30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6.1  运行结果</w:t>
      </w:r>
    </w:p>
    <w:p w14:paraId="5F25498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"Figure_29"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29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图29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65B77D60">
      <w:pPr>
        <w:pStyle w:val="4"/>
        <w:keepNext/>
        <w:keepLines/>
        <w:spacing w:before="60" w:after="40" w:line="240" w:lineRule="auto"/>
        <w:jc w:val="center"/>
        <w:rPr>
          <w:rFonts w:hint="eastAsia"/>
          <w:lang w:val="en-US" w:eastAsia="zh-CN"/>
        </w:rPr>
      </w:pPr>
      <w:bookmarkStart w:id="1029" w:name="Figure_29"/>
      <w:bookmarkStart w:id="30" w:name="Figure_29"/>
      <w:r>
        <w:rPr>
          <w:rFonts w:ascii="Times New Roman" w:hAnsi="Times New Roman" w:eastAsia="宋体" w:cs="宋体"/>
          <w:color w:val="000000"/>
          <w:sz w:val="24"/>
          <w:szCs w:val="24"/>
        </w:rPr>
        <w:drawing>
          <wp:inline distT="0" distB="0" distL="114300" distR="114300">
            <wp:extent cx="3779520" cy="1974215"/>
            <wp:effectExtent l="0" t="0" r="1270" b="952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97483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30"/>
      <w:bookmarkEnd w:id="1029"/>
    </w:p>
    <w:p w14:paraId="12D762AD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图29  猫狗识别模型的 PyCharm 运行输出</w:t>
      </w:r>
    </w:p>
    <w:p w14:paraId="0E64DD0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"Figure_30"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0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图30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0805D7A4">
      <w:pPr>
        <w:keepNext/>
        <w:keepLines/>
        <w:spacing w:before="60" w:after="40" w:line="240" w:lineRule="auto"/>
        <w:jc w:val="center"/>
      </w:pPr>
      <w:bookmarkStart w:id="1030" w:name="Figure_30"/>
      <w:bookmarkStart w:id="31" w:name="Figure_30"/>
      <w:r>
        <w:rPr>
          <w:rFonts w:ascii="Times New Roman" w:hAnsi="Times New Roman" w:eastAsia="宋体" w:cs="宋体"/>
          <w:color w:val="000000"/>
          <w:sz w:val="24"/>
          <w:szCs w:val="24"/>
        </w:rPr>
        <w:drawing>
          <wp:inline distT="0" distB="0" distL="114300" distR="114300">
            <wp:extent cx="3779520" cy="1553210"/>
            <wp:effectExtent l="0" t="0" r="7620" b="1905"/>
            <wp:docPr id="36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" descr="IMG_25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55324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31"/>
      <w:bookmarkEnd w:id="1030"/>
    </w:p>
    <w:p w14:paraId="2187868C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图30  猫狗识别训练损失与准确率曲线</w:t>
      </w:r>
    </w:p>
    <w:p w14:paraId="1273670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"Figure_31"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1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图31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08F4D691">
      <w:pPr>
        <w:keepNext/>
        <w:keepLines/>
        <w:spacing w:before="60" w:after="40" w:line="240" w:lineRule="auto"/>
        <w:jc w:val="center"/>
      </w:pPr>
      <w:bookmarkStart w:id="1031" w:name="Figure_31"/>
      <w:bookmarkStart w:id="32" w:name="Figure_31"/>
      <w:r>
        <w:rPr>
          <w:rFonts w:ascii="Times New Roman" w:hAnsi="Times New Roman" w:eastAsia="宋体" w:cs="宋体"/>
          <w:color w:val="000000"/>
          <w:sz w:val="24"/>
          <w:szCs w:val="24"/>
        </w:rPr>
        <w:drawing>
          <wp:inline distT="0" distB="0" distL="114300" distR="114300">
            <wp:extent cx="3779520" cy="3278505"/>
            <wp:effectExtent l="0" t="0" r="4445" b="13335"/>
            <wp:docPr id="59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" descr="IMG_25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278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32"/>
      <w:bookmarkEnd w:id="1031"/>
    </w:p>
    <w:p w14:paraId="5CE94DDE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图31  猫狗识别测试集混淆矩阵</w:t>
      </w:r>
    </w:p>
    <w:p w14:paraId="17D5595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"Figure_32"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2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图32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1680EFCC">
      <w:pPr>
        <w:keepNext/>
        <w:keepLines/>
        <w:spacing w:before="60" w:after="40" w:line="240" w:lineRule="auto"/>
        <w:jc w:val="center"/>
      </w:pPr>
      <w:bookmarkStart w:id="1032" w:name="Figure_32"/>
      <w:bookmarkStart w:id="33" w:name="Figure_32"/>
      <w:r>
        <w:rPr>
          <w:rFonts w:ascii="Times New Roman" w:hAnsi="Times New Roman" w:eastAsia="宋体" w:cs="宋体"/>
          <w:color w:val="000000"/>
          <w:sz w:val="24"/>
          <w:szCs w:val="24"/>
        </w:rPr>
        <w:drawing>
          <wp:inline distT="0" distB="0" distL="114300" distR="114300">
            <wp:extent cx="3779520" cy="2046605"/>
            <wp:effectExtent l="0" t="0" r="5080" b="12065"/>
            <wp:docPr id="60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" descr="IMG_25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04676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33"/>
      <w:bookmarkEnd w:id="1032"/>
    </w:p>
    <w:p w14:paraId="60B19444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图32  猫狗识别测试集预测样例</w:t>
      </w:r>
    </w:p>
    <w:p w14:paraId="222500F8">
      <w:pPr>
        <w:pStyle w:val="5"/>
        <w:spacing w:before="120" w:after="120" w:line="240" w:lineRule="auto"/>
        <w:jc w:val="left"/>
      </w:pPr>
      <w:r>
        <w:rPr>
          <w:rFonts w:ascii="Times New Roman" w:hAnsi="Times New Roman" w:eastAsia="黑体" w:cs="Times New Roman"/>
          <w:b w:val="1"/>
          <w:color w:val="000000"/>
          <w:sz w:val="28"/>
          <w:szCs w:val="28"/>
          <w:bCs w:val="1"/>
        </w:rPr>
        <w:t>6.1.1  实验设置</w:t>
      </w:r>
    </w:p>
    <w:p w14:paraId="5C0C2E2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本实验使用8005张训练图片和2023张测试图片，其中训练集包含4000张猫、4005张狗，测试集包含1011张猫、1012张狗。模型由4个卷积层和3个全连接层组成，输入图像统一缩放为96×96，批大小为64，使用Adam优化器，学习率为0.001，共训练10轮。为适应CPU环境，卷积通道数依次设置为16、32、64和128，模型总参数量为1,212,930。完整运行输出和训练曲线分别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"Figure_29"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29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图29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和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"Figure_30"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0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图30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0531F261">
      <w:pPr>
        <w:pStyle w:val="5"/>
        <w:spacing w:before="120" w:after="120" w:line="240" w:lineRule="auto"/>
        <w:jc w:val="left"/>
      </w:pPr>
      <w:r>
        <w:rPr>
          <w:rFonts w:ascii="Times New Roman" w:hAnsi="Times New Roman" w:eastAsia="黑体" w:cs="Times New Roman"/>
          <w:b w:val="1"/>
          <w:color w:val="000000"/>
          <w:sz w:val="28"/>
          <w:szCs w:val="28"/>
          <w:bCs w:val="1"/>
        </w:rPr>
        <w:t>6.1.2  实验结果</w:t>
      </w:r>
    </w:p>
    <w:p w14:paraId="572ACA1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训练10轮总用时为431.3秒。第10轮取得最佳结果：训练集准确率为88.71%，测试集准确率为88.24%，测试集交叉熵损失为0.3025。训练准确率与测试准确率仅相差0.47个百分点，未表现出明显的过拟合。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"Figure_30"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0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图30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显示训练损失总体下降，测试准确率虽有阶段性波动，但整体呈上升趋势。</w:t>
      </w:r>
    </w:p>
    <w:p w14:paraId="37A9818D">
      <w:pPr>
        <w:pStyle w:val="5"/>
        <w:spacing w:before="120" w:after="120" w:line="240" w:lineRule="auto"/>
        <w:jc w:val="left"/>
      </w:pPr>
      <w:r>
        <w:rPr>
          <w:rFonts w:ascii="Times New Roman" w:hAnsi="Times New Roman" w:eastAsia="黑体" w:cs="Times New Roman"/>
          <w:b w:val="1"/>
          <w:color w:val="000000"/>
          <w:sz w:val="28"/>
          <w:szCs w:val="28"/>
          <w:bCs w:val="1"/>
        </w:rPr>
        <w:t>6.1.3  混淆矩阵与误分类分析</w:t>
      </w:r>
    </w:p>
    <w:p w14:paraId="1781FF9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测试集混淆矩阵如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"Figure_31"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1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图31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在1011张猫图片中，892张识别正确、119张被误判为狗；在1012张狗图片中，893张识别正确、119张被误判为猫。猫和狗的召回率分别约为88.23%和88.24%，两类识别能力较为均衡，说明总体准确率并非由类别不平衡造成。</w:t>
      </w:r>
    </w:p>
    <w:p w14:paraId="577BD13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预测样例如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"Figure_32"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2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图32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正确样例通常具有清晰的主体轮廓；误分类样例中存在复杂背景、遮挡、姿态变化或目标占比较小等情况。两张误判猫图片的预测置信度约为50.4%和72.8%，说明模型对这些边界样本的判别仍不稳定。后续可采用更丰富的数据增强、提高输入分辨率或使用预训练模型改善特征表达能力。</w:t>
      </w:r>
    </w:p>
    <w:p w14:paraId="180CBB4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猫狗识别实验的主要量化结果见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"Table_3"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Table_3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表3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。</w:t>
      </w:r>
    </w:p>
    <w:p w14:paraId="5B853945">
      <w:pPr>
        <w:spacing w:before="0" w:after="120" w:line="240" w:lineRule="auto"/>
        <w:jc w:val="center"/>
      </w:pPr>
      <w:bookmarkStart w:id="2003" w:name="Table_3"/>
      <w:bookmarkStart w:id="34" w:name="Table_3"/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表3  猫狗识别实验结果汇总</w:t>
      </w:r>
      <w:bookmarkEnd w:id="34"/>
      <w:bookmarkEnd w:id="2003"/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4673"/>
      </w:tblGrid>
      <w:tr w14:paraId="4B608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center"/>
          </w:tcPr>
          <w:p w14:paraId="5EDB3164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指标</w:t>
            </w:r>
          </w:p>
        </w:tc>
        <w:tc>
          <w:tcPr>
            <w:tcW w:w="4677" w:type="dxa"/>
            <w:vAlign w:val="center"/>
          </w:tcPr>
          <w:p w14:paraId="30C2A413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实验结果</w:t>
            </w:r>
          </w:p>
        </w:tc>
      </w:tr>
      <w:tr w14:paraId="55245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center"/>
          </w:tcPr>
          <w:p w14:paraId="48F14328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模型参数量</w:t>
            </w:r>
          </w:p>
        </w:tc>
        <w:tc>
          <w:tcPr>
            <w:tcW w:w="4677" w:type="dxa"/>
            <w:vAlign w:val="center"/>
          </w:tcPr>
          <w:p w14:paraId="2AEC43EE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1,212,930</w:t>
            </w:r>
          </w:p>
        </w:tc>
      </w:tr>
      <w:tr w14:paraId="73E50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center"/>
          </w:tcPr>
          <w:p w14:paraId="3766C945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训练轮数</w:t>
            </w:r>
          </w:p>
        </w:tc>
        <w:tc>
          <w:tcPr>
            <w:tcW w:w="4677" w:type="dxa"/>
            <w:vAlign w:val="center"/>
          </w:tcPr>
          <w:p w14:paraId="6631A810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10</w:t>
            </w:r>
          </w:p>
        </w:tc>
      </w:tr>
      <w:tr w14:paraId="10450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center"/>
          </w:tcPr>
          <w:p w14:paraId="3B49998F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训练总时间</w:t>
            </w:r>
          </w:p>
        </w:tc>
        <w:tc>
          <w:tcPr>
            <w:tcW w:w="4677" w:type="dxa"/>
            <w:vAlign w:val="center"/>
          </w:tcPr>
          <w:p w14:paraId="2502D331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431.3 s</w:t>
            </w:r>
          </w:p>
        </w:tc>
      </w:tr>
      <w:tr w14:paraId="0518F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center"/>
          </w:tcPr>
          <w:p w14:paraId="77131C99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最佳训练集准确率</w:t>
            </w:r>
          </w:p>
        </w:tc>
        <w:tc>
          <w:tcPr>
            <w:tcW w:w="4677" w:type="dxa"/>
            <w:vAlign w:val="center"/>
          </w:tcPr>
          <w:p w14:paraId="4DAB792F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88.71%</w:t>
            </w:r>
          </w:p>
        </w:tc>
      </w:tr>
      <w:tr w14:paraId="1FADB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center"/>
          </w:tcPr>
          <w:p w14:paraId="7AD3D235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最佳测试集准确率</w:t>
            </w:r>
          </w:p>
        </w:tc>
        <w:tc>
          <w:tcPr>
            <w:tcW w:w="4677" w:type="dxa"/>
            <w:vAlign w:val="center"/>
          </w:tcPr>
          <w:p w14:paraId="0761DB75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88.24%</w:t>
            </w:r>
          </w:p>
        </w:tc>
      </w:tr>
      <w:tr w14:paraId="46D5A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center"/>
          </w:tcPr>
          <w:p w14:paraId="60F5CE57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最佳测试集损失</w:t>
            </w:r>
          </w:p>
        </w:tc>
        <w:tc>
          <w:tcPr>
            <w:tcW w:w="4677" w:type="dxa"/>
            <w:vAlign w:val="center"/>
          </w:tcPr>
          <w:p w14:paraId="6C1FFB1A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0.3025</w:t>
            </w:r>
          </w:p>
        </w:tc>
      </w:tr>
    </w:tbl>
    <w:p w14:paraId="2FCCC0CD">
      <w:pPr>
        <w:pStyle w:val="3"/>
        <w:numPr>
          <w:ilvl w:val="0"/>
          <w:numId w:val="0"/>
        </w:numPr>
        <w:bidi w:val="0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6.2  问题分析与解决方案</w:t>
      </w:r>
    </w:p>
    <w:p w14:paraId="03526560">
      <w:pPr>
        <w:pStyle w:val="33"/>
        <w:numPr>
          <w:ilvl w:val="0"/>
          <w:numId w:val="0"/>
        </w:numPr>
        <w:bidi w:val="0"/>
        <w:spacing w:before="120" w:after="120" w:line="240" w:lineRule="auto"/>
        <w:jc w:val="left"/>
        <w:rPr>
          <w:rFonts w:hint="default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28"/>
          <w:szCs w:val="28"/>
          <w:bCs w:val="1"/>
        </w:rPr>
        <w:t>6.2.1  数据路径配置错误</w:t>
      </w:r>
    </w:p>
    <w:p w14:paraId="338D076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"Figure_33"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3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图33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604518E0">
      <w:pPr>
        <w:keepNext/>
        <w:keepLines/>
        <w:numPr>
          <w:ilvl w:val="0"/>
          <w:numId w:val="0"/>
        </w:numPr>
        <w:bidi w:val="0"/>
        <w:spacing w:before="60" w:after="40" w:line="240" w:lineRule="auto"/>
        <w:jc w:val="center"/>
      </w:pPr>
      <w:bookmarkStart w:id="1033" w:name="Figure_33"/>
      <w:bookmarkStart w:id="35" w:name="Figure_3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777875"/>
            <wp:effectExtent l="0" t="0" r="6985" b="11430"/>
            <wp:docPr id="3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7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5"/>
      <w:bookmarkEnd w:id="1033"/>
    </w:p>
    <w:p w14:paraId="58A6A816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图33  猫狗识别中的数据路径错误</w:t>
      </w:r>
    </w:p>
    <w:p w14:paraId="1761B559">
      <w:pPr>
        <w:numPr>
          <w:ilvl w:val="0"/>
          <w:numId w:val="0"/>
        </w:numPr>
        <w:bidi w:val="0"/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解决方法</w:t>
      </w:r>
    </w:p>
    <w:p w14:paraId="770FA249">
      <w:pPr>
        <w:numPr>
          <w:ilvl w:val="0"/>
          <w:numId w:val="0"/>
        </w:numPr>
        <w:bidi w:val="0"/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将数据路径改为本机实际保存位置，并确认该目录存在且当前账户具有读取权限。</w:t>
      </w:r>
    </w:p>
    <w:p w14:paraId="085E2C4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"Figure_34"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4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图34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443251A7">
      <w:pPr>
        <w:keepNext/>
        <w:keepLines/>
        <w:numPr>
          <w:ilvl w:val="0"/>
          <w:numId w:val="0"/>
        </w:numPr>
        <w:bidi w:val="0"/>
        <w:spacing w:before="60" w:after="40" w:line="240" w:lineRule="auto"/>
        <w:jc w:val="center"/>
      </w:pPr>
      <w:bookmarkStart w:id="1034" w:name="Figure_34"/>
      <w:bookmarkStart w:id="36" w:name="Figure_3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751205"/>
            <wp:effectExtent l="0" t="0" r="7620" b="7620"/>
            <wp:docPr id="3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51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6"/>
      <w:bookmarkEnd w:id="1034"/>
    </w:p>
    <w:p w14:paraId="581AD7B8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图34  路径修正后的原始程序运行结果</w:t>
      </w:r>
    </w:p>
    <w:p w14:paraId="420591EB">
      <w:pPr>
        <w:pStyle w:val="2"/>
        <w:numPr>
          <w:ilvl w:val="0"/>
          <w:numId w:val="0"/>
        </w:numPr>
        <w:bidi w:val="0"/>
        <w:spacing w:before="340" w:after="330" w:line="240" w:lineRule="auto"/>
        <w:ind w:leftChars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44"/>
          <w:szCs w:val="44"/>
          <w:bCs w:val="1"/>
        </w:rPr>
        <w:t>7  VGG16 迁移学习</w:t>
      </w:r>
    </w:p>
    <w:p w14:paraId="2D23B116">
      <w:pPr>
        <w:pStyle w:val="3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7.1  VGG16 运行结果</w:t>
      </w:r>
    </w:p>
    <w:p w14:paraId="0945387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"Figure_35"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5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图35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7EC60258">
      <w:pPr>
        <w:keepNext/>
        <w:keepLines/>
        <w:spacing w:before="60" w:after="40" w:line="240" w:lineRule="auto"/>
        <w:jc w:val="center"/>
      </w:pPr>
      <w:bookmarkStart w:id="1035" w:name="Figure_35"/>
      <w:bookmarkStart w:id="37" w:name="Figure_3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1943735"/>
            <wp:effectExtent l="0" t="0" r="6350" b="8255"/>
            <wp:docPr id="3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9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7"/>
      <w:bookmarkEnd w:id="1035"/>
    </w:p>
    <w:p w14:paraId="52797A5E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图35  VGG16迁移学习实验配置与参数</w:t>
      </w:r>
    </w:p>
    <w:p w14:paraId="71DA198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"Figure_36"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6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图36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4DC2E09C">
      <w:pPr>
        <w:keepNext/>
        <w:keepLines/>
        <w:spacing w:before="60" w:after="40" w:line="240" w:lineRule="auto"/>
        <w:jc w:val="center"/>
      </w:pPr>
      <w:bookmarkStart w:id="1036" w:name="Figure_36"/>
      <w:bookmarkStart w:id="38" w:name="Figure_3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1456055"/>
            <wp:effectExtent l="0" t="0" r="7620" b="7620"/>
            <wp:docPr id="3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456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8"/>
      <w:bookmarkEnd w:id="1036"/>
    </w:p>
    <w:p w14:paraId="2292D12A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图36  VGG16训练损失与准确率曲线</w:t>
      </w:r>
    </w:p>
    <w:p w14:paraId="70E0CB7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"Figure_37"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7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图37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73E8B7BC">
      <w:pPr>
        <w:keepNext/>
        <w:keepLines/>
        <w:spacing w:before="60" w:after="40" w:line="240" w:lineRule="auto"/>
        <w:jc w:val="center"/>
      </w:pPr>
      <w:bookmarkStart w:id="1037" w:name="Figure_37"/>
      <w:bookmarkStart w:id="39" w:name="Figure_3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244090"/>
            <wp:effectExtent l="0" t="0" r="7620" b="0"/>
            <wp:docPr id="3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24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9"/>
      <w:bookmarkEnd w:id="1037"/>
    </w:p>
    <w:p w14:paraId="6AF1D09C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图37  VGG16猫狗识别运行结果</w:t>
      </w:r>
    </w:p>
    <w:p w14:paraId="1DFB1D05">
      <w:pPr>
        <w:pStyle w:val="3"/>
        <w:spacing w:before="260" w:after="260" w:line="240" w:lineRule="auto"/>
        <w:jc w:val="left"/>
        <w:rPr>
          <w:rFonts w:hint="eastAsia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7.2  VGG16 微调与从零训练 CNN 的比较</w:t>
      </w:r>
    </w:p>
    <w:p w14:paraId="62907E14">
      <w:pPr>
        <w:numPr>
          <w:ilvl w:val="0"/>
          <w:numId w:val="0"/>
        </w:numPr>
        <w:bidi w:val="0"/>
        <w:spacing w:before="0" w:after="0" w:line="360" w:lineRule="auto"/>
        <w:ind w:firstLine="480"/>
        <w:jc w:val="both"/>
        <w:rPr>
          <w:rFonts w:hint="eastAsia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本次实验使用ImageNet预训练VGG16，冻结卷积特征层，将分类头替换为Linear(512, 2)，输入尺寸为96×96。模型总参数量为14,715,714，其中可训练参数量为1,026。使用与第6章普通CNN完全相同的8005张训练图片和2023张测试图片，训练3轮总用时762.84秒。第3轮取得最佳结果：训练集准确率95.20%，测试集准确率95.30%，测试损失0.1180。实验配置、训练曲线和运行结果分别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"Figure_35"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5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图35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、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"Figure_36"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6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图36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和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"Figure_37"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7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图37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078CCC7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与第6章普通CNN相比，VGG16测试准确率由88.24%提高到95.30%，提高7.06个百分点；测试损失由0.3025降至0.1180。VGG16虽然只训练3轮，但CPU总训练时间为762.84秒，比普通CNN的431.3秒增加331.54秒。其总参数量约为普通CNN的12.1倍，不过冻结特征层后仅有1,026个分类头参数参与更新。这说明预训练特征显著提高了识别精度，但VGG16前向特征提取仍带来较大的计算开销。</w:t>
      </w:r>
    </w:p>
    <w:p w14:paraId="79B7A46F">
      <w:pPr>
        <w:spacing w:line="360" w:lineRule="auto" w:before="0" w:after="0"/>
        <w:jc w:val="both"/>
      </w:pP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t>普通CNN与VGG16的量化对比结果见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"Table_4"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Table_4" w:history="1">
        <w:r>
          <w:rPr>
            <w:rFonts w:ascii="Times New Roman" w:hAnsi="Times New Roman" w:cs="Times New Roman" w:eastAsia="宋体"/>
            <w:color w:val="0563C1"/>
            <w:u w:val="single"/>
            <w:sz w:val="24"/>
            <w:szCs w:val="24"/>
            <w:b w:val="0"/>
            <w:bCs w:val="0"/>
          </w:rPr>
          <w:t>表4</w:t>
        </w:r>
      </w:hyperlink>
      <w:r>
        <w:rPr>
          <w:rFonts w:ascii="Times New Roman" w:hAnsi="Times New Roman" w:cs="Times New Roman" w:eastAsia="宋体"/>
          <w:color w:val="0563C1"/>
          <w:u w:val="single"/>
          <w:sz w:val="24"/>
          <w:szCs w:val="24"/>
          <w:b w:val="0"/>
          <w:bCs w:val="0"/>
        </w:rPr>
        <w:fldChar w:fldCharType="end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t>。</w:t>
      </w:r>
    </w:p>
    <w:p w14:paraId="75E5FE62">
      <w:pPr>
        <w:spacing w:line="240" w:lineRule="auto" w:before="0" w:after="120"/>
        <w:jc w:val="center"/>
      </w:pPr>
      <w:bookmarkStart w:id="2004" w:name="Table_4"/>
      <w:bookmarkStart w:id="40" w:name="Table_4"/>
      <w:r>
        <w:rPr>
          <w:rFonts w:ascii="Times New Roman" w:hAnsi="Times New Roman" w:cs="Times New Roman" w:eastAsia="宋体"/>
          <w:sz w:val="21"/>
          <w:szCs w:val="21"/>
          <w:b w:val="0"/>
          <w:bCs w:val="0"/>
        </w:rPr>
        <w:t>表4  普通CNN与VGG16迁移学习结果对比</w:t>
      </w:r>
      <w:bookmarkEnd w:id="40"/>
      <w:bookmarkEnd w:id="2004"/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5"/>
        <w:gridCol w:w="1336"/>
        <w:gridCol w:w="1335"/>
        <w:gridCol w:w="1334"/>
        <w:gridCol w:w="1335"/>
        <w:gridCol w:w="1335"/>
        <w:gridCol w:w="1335"/>
      </w:tblGrid>
      <w:tr w14:paraId="54C45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6" w:type="dxa"/>
            <w:vAlign w:val="center"/>
          </w:tcPr>
          <w:p w14:paraId="7718AA39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模型</w:t>
            </w:r>
          </w:p>
        </w:tc>
        <w:tc>
          <w:tcPr>
            <w:tcW w:w="1336" w:type="dxa"/>
            <w:vAlign w:val="center"/>
          </w:tcPr>
          <w:p w14:paraId="60712884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总参数量</w:t>
            </w:r>
          </w:p>
        </w:tc>
        <w:tc>
          <w:tcPr>
            <w:tcW w:w="1336" w:type="dxa"/>
            <w:vAlign w:val="center"/>
          </w:tcPr>
          <w:p w14:paraId="5A7F857C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可训练参数量</w:t>
            </w:r>
          </w:p>
        </w:tc>
        <w:tc>
          <w:tcPr>
            <w:tcW w:w="1336" w:type="dxa"/>
            <w:vAlign w:val="center"/>
          </w:tcPr>
          <w:p w14:paraId="16E4C7FA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训练轮数</w:t>
            </w:r>
          </w:p>
        </w:tc>
        <w:tc>
          <w:tcPr>
            <w:tcW w:w="1336" w:type="dxa"/>
            <w:vAlign w:val="center"/>
          </w:tcPr>
          <w:p w14:paraId="4FF8D08E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训练时间（s）</w:t>
            </w:r>
          </w:p>
        </w:tc>
        <w:tc>
          <w:tcPr>
            <w:tcW w:w="1336" w:type="dxa"/>
            <w:vAlign w:val="center"/>
          </w:tcPr>
          <w:p w14:paraId="35CE85A9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测试损失</w:t>
            </w:r>
          </w:p>
        </w:tc>
        <w:tc>
          <w:tcPr>
            <w:tcW w:w="1336" w:type="dxa"/>
            <w:vAlign w:val="center"/>
          </w:tcPr>
          <w:p w14:paraId="42B9E5E7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测试准确率</w:t>
            </w:r>
          </w:p>
        </w:tc>
      </w:tr>
      <w:tr w14:paraId="707AF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6" w:type="dxa"/>
            <w:vAlign w:val="center"/>
          </w:tcPr>
          <w:p w14:paraId="0B084AE5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普通CNN</w:t>
            </w:r>
          </w:p>
        </w:tc>
        <w:tc>
          <w:tcPr>
            <w:tcW w:w="1336" w:type="dxa"/>
            <w:vAlign w:val="center"/>
          </w:tcPr>
          <w:p w14:paraId="03951A8F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1,212,930</w:t>
            </w:r>
          </w:p>
        </w:tc>
        <w:tc>
          <w:tcPr>
            <w:tcW w:w="1336" w:type="dxa"/>
            <w:vAlign w:val="center"/>
          </w:tcPr>
          <w:p w14:paraId="4DA643BA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1,212,930</w:t>
            </w:r>
          </w:p>
        </w:tc>
        <w:tc>
          <w:tcPr>
            <w:tcW w:w="1336" w:type="dxa"/>
            <w:vAlign w:val="center"/>
          </w:tcPr>
          <w:p w14:paraId="2AE820E7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10</w:t>
            </w:r>
          </w:p>
        </w:tc>
        <w:tc>
          <w:tcPr>
            <w:tcW w:w="1336" w:type="dxa"/>
            <w:vAlign w:val="center"/>
          </w:tcPr>
          <w:p w14:paraId="4B98CE9E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431.30</w:t>
            </w:r>
          </w:p>
        </w:tc>
        <w:tc>
          <w:tcPr>
            <w:tcW w:w="1336" w:type="dxa"/>
            <w:vAlign w:val="center"/>
          </w:tcPr>
          <w:p w14:paraId="0A7E2E1F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0.3025</w:t>
            </w:r>
          </w:p>
        </w:tc>
        <w:tc>
          <w:tcPr>
            <w:tcW w:w="1336" w:type="dxa"/>
            <w:vAlign w:val="center"/>
          </w:tcPr>
          <w:p w14:paraId="6C547692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88.24%</w:t>
            </w:r>
          </w:p>
        </w:tc>
      </w:tr>
      <w:tr w14:paraId="4B232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6" w:type="dxa"/>
            <w:vAlign w:val="center"/>
          </w:tcPr>
          <w:p w14:paraId="748823F4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VGG16迁移学习</w:t>
            </w:r>
          </w:p>
        </w:tc>
        <w:tc>
          <w:tcPr>
            <w:tcW w:w="1336" w:type="dxa"/>
            <w:vAlign w:val="center"/>
          </w:tcPr>
          <w:p w14:paraId="6B77BA2C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14,715,714</w:t>
            </w:r>
          </w:p>
        </w:tc>
        <w:tc>
          <w:tcPr>
            <w:tcW w:w="1336" w:type="dxa"/>
            <w:vAlign w:val="center"/>
          </w:tcPr>
          <w:p w14:paraId="1F9F6EE6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1,026</w:t>
            </w:r>
          </w:p>
        </w:tc>
        <w:tc>
          <w:tcPr>
            <w:tcW w:w="1336" w:type="dxa"/>
            <w:vAlign w:val="center"/>
          </w:tcPr>
          <w:p w14:paraId="6C8A2696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3</w:t>
            </w:r>
          </w:p>
        </w:tc>
        <w:tc>
          <w:tcPr>
            <w:tcW w:w="1336" w:type="dxa"/>
            <w:vAlign w:val="center"/>
          </w:tcPr>
          <w:p w14:paraId="73A77A06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762.84</w:t>
            </w:r>
          </w:p>
        </w:tc>
        <w:tc>
          <w:tcPr>
            <w:tcW w:w="1336" w:type="dxa"/>
            <w:vAlign w:val="center"/>
          </w:tcPr>
          <w:p w14:paraId="6C921B22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0.1180</w:t>
            </w:r>
          </w:p>
        </w:tc>
        <w:tc>
          <w:tcPr>
            <w:tcW w:w="1336" w:type="dxa"/>
            <w:vAlign w:val="center"/>
          </w:tcPr>
          <w:p w14:paraId="05CCAF89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95.30%</w:t>
            </w:r>
          </w:p>
        </w:tc>
      </w:tr>
    </w:tbl>
    <w:p w14:paraId="3E47E819">
      <w:pPr>
        <w:pStyle w:val="2"/>
        <w:bidi w:val="0"/>
        <w:spacing w:before="340" w:after="33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44"/>
          <w:szCs w:val="44"/>
          <w:bCs w:val="1"/>
        </w:rPr>
        <w:t>8  VGG16 特征可视化</w:t>
      </w:r>
    </w:p>
    <w:p w14:paraId="682FB658">
      <w:pPr>
        <w:pStyle w:val="3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8.1  浅层卷积特征图</w:t>
      </w:r>
    </w:p>
    <w:p w14:paraId="4E8966BE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特点：尺寸和原图接近，只凸显边缘、线条、轮廓、纹理；和原图结构相似，只能看到基础的线条信息，看不出猫、狗这种物体。</w:t>
      </w:r>
    </w:p>
    <w:p w14:paraId="38BDFE30">
      <w:pPr>
        <w:tabs>
          <w:tab w:val="left" w:pos="3167"/>
        </w:tabs>
        <w:bidi w:val="0"/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ab/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对比图</w:t>
      </w:r>
    </w:p>
    <w:p w14:paraId="35EC379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"Figure_38"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8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图38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60CD9137">
      <w:pPr>
        <w:keepNext/>
        <w:keepLines/>
        <w:spacing w:before="60" w:after="40" w:line="240" w:lineRule="auto"/>
        <w:jc w:val="center"/>
      </w:pPr>
      <w:bookmarkStart w:id="1038" w:name="Figure_38"/>
      <w:bookmarkStart w:id="41" w:name="Figure_3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834640"/>
            <wp:effectExtent l="0" t="0" r="5715" b="3810"/>
            <wp:docPr id="4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1"/>
      <w:bookmarkEnd w:id="1038"/>
    </w:p>
    <w:p w14:paraId="5F70597C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图38  VGG16 输入原图</w:t>
      </w:r>
    </w:p>
    <w:p w14:paraId="6D3F3E2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"Figure_39"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9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图39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634B1584">
      <w:pPr>
        <w:keepNext/>
        <w:keepLines/>
        <w:spacing w:before="60" w:after="40" w:line="240" w:lineRule="auto"/>
        <w:jc w:val="center"/>
      </w:pPr>
      <w:bookmarkStart w:id="1039" w:name="Figure_39"/>
      <w:bookmarkStart w:id="42" w:name="Figure_3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834640"/>
            <wp:effectExtent l="0" t="0" r="13970" b="6350"/>
            <wp:docPr id="4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2"/>
      <w:bookmarkEnd w:id="1039"/>
    </w:p>
    <w:p w14:paraId="310CFD68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图39  VGG16 浅层卷积特征图</w:t>
      </w:r>
    </w:p>
    <w:p w14:paraId="10F7FBF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"Figure_40"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40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图40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536051E1">
      <w:pPr>
        <w:keepNext/>
        <w:keepLines/>
        <w:spacing w:before="60" w:after="40" w:line="240" w:lineRule="auto"/>
        <w:jc w:val="center"/>
      </w:pPr>
      <w:bookmarkStart w:id="1040" w:name="Figure_40"/>
      <w:bookmarkStart w:id="43" w:name="Figure_4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834640"/>
            <wp:effectExtent l="0" t="0" r="6350" b="12065"/>
            <wp:docPr id="4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3"/>
      <w:bookmarkEnd w:id="1040"/>
    </w:p>
    <w:p w14:paraId="45BE3603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图40  浅层卷积特征与原图对比</w:t>
      </w:r>
    </w:p>
    <w:p w14:paraId="5E95D102">
      <w:pPr>
        <w:pStyle w:val="3"/>
        <w:tabs>
          <w:tab w:val="left" w:pos="3167"/>
        </w:tabs>
        <w:bidi w:val="0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8.2  深层特征图</w:t>
      </w:r>
    </w:p>
    <w:p w14:paraId="3E73DC8B">
      <w:pPr>
        <w:tabs>
          <w:tab w:val="left" w:pos="3167"/>
        </w:tabs>
        <w:bidi w:val="0"/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经过多次卷积 + 池化，分辨率变得很小（7×7）；图上是离散的激活色块，已经完全看不出图像轮廓，提取的是抽象语义特征。</w:t>
      </w:r>
    </w:p>
    <w:p w14:paraId="2D321DC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"Figure_41"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41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图41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38A985F5">
      <w:pPr>
        <w:keepNext/>
        <w:keepLines/>
        <w:tabs>
          <w:tab w:val="left" w:pos="3167"/>
        </w:tabs>
        <w:bidi w:val="0"/>
        <w:spacing w:before="60" w:after="40" w:line="240" w:lineRule="auto"/>
        <w:jc w:val="center"/>
      </w:pPr>
      <w:bookmarkStart w:id="1041" w:name="Figure_41"/>
      <w:bookmarkStart w:id="44" w:name="Figure_4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834640"/>
            <wp:effectExtent l="0" t="0" r="5715" b="12065"/>
            <wp:docPr id="4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4"/>
      <w:bookmarkEnd w:id="1041"/>
    </w:p>
    <w:p w14:paraId="0D08C8C6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图41  VGG16 深层特征图（一）</w:t>
      </w:r>
    </w:p>
    <w:p w14:paraId="10ABEC1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"Figure_42"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42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图42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2401E1AA">
      <w:pPr>
        <w:keepNext/>
        <w:keepLines/>
        <w:spacing w:before="60" w:after="40" w:line="240" w:lineRule="auto"/>
        <w:jc w:val="center"/>
      </w:pPr>
      <w:bookmarkStart w:id="1042" w:name="Figure_42"/>
      <w:bookmarkStart w:id="45" w:name="Figure_4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834640"/>
            <wp:effectExtent l="0" t="0" r="13335" b="9525"/>
            <wp:docPr id="4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5"/>
      <w:bookmarkEnd w:id="1042"/>
    </w:p>
    <w:p w14:paraId="27A3C770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图42  VGG16 深层特征图（二）</w:t>
      </w:r>
    </w:p>
    <w:p w14:paraId="03203CA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"Figure_43"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43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图43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5F85473D">
      <w:pPr>
        <w:keepNext/>
        <w:keepLines/>
        <w:spacing w:before="60" w:after="40" w:line="240" w:lineRule="auto"/>
        <w:jc w:val="center"/>
      </w:pPr>
      <w:bookmarkStart w:id="1043" w:name="Figure_43"/>
      <w:bookmarkStart w:id="46" w:name="Figure_4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834640"/>
            <wp:effectExtent l="0" t="0" r="10160" b="7620"/>
            <wp:docPr id="4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6"/>
      <w:bookmarkEnd w:id="1043"/>
    </w:p>
    <w:p w14:paraId="2520CAA3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图43  VGG16 深层特征图（三）</w:t>
      </w:r>
    </w:p>
    <w:p w14:paraId="5BA74EE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"Figure_44"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44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图44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273841DE">
      <w:pPr>
        <w:keepNext/>
        <w:keepLines/>
        <w:spacing w:before="60" w:after="40" w:line="240" w:lineRule="auto"/>
        <w:jc w:val="center"/>
      </w:pPr>
      <w:bookmarkStart w:id="1044" w:name="Figure_44"/>
      <w:bookmarkStart w:id="47" w:name="Figure_4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834640"/>
            <wp:effectExtent l="0" t="0" r="5715" b="3810"/>
            <wp:docPr id="4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7"/>
      <w:bookmarkEnd w:id="1044"/>
    </w:p>
    <w:p w14:paraId="6B6B9F44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图44  VGG16 深层特征图（四）</w:t>
      </w:r>
    </w:p>
    <w:p w14:paraId="228C04A5">
      <w:pPr>
        <w:pStyle w:val="3"/>
        <w:tabs>
          <w:tab w:val="left" w:pos="3167"/>
        </w:tabs>
        <w:bidi w:val="0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8.3  Grad-CAM 热力图</w:t>
      </w:r>
    </w:p>
    <w:p w14:paraId="58E7DC16">
      <w:pPr>
        <w:tabs>
          <w:tab w:val="left" w:pos="3167"/>
        </w:tabs>
        <w:bidi w:val="0"/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上采样放大后的热力图，代表网络激活区域。</w:t>
      </w:r>
    </w:p>
    <w:p w14:paraId="10A64FA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"Figure_45"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45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图45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36219094">
      <w:pPr>
        <w:keepNext/>
        <w:keepLines/>
        <w:tabs>
          <w:tab w:val="left" w:pos="3167"/>
        </w:tabs>
        <w:bidi w:val="0"/>
        <w:spacing w:before="60" w:after="40" w:line="240" w:lineRule="auto"/>
        <w:jc w:val="center"/>
      </w:pPr>
      <w:bookmarkStart w:id="1045" w:name="Figure_45"/>
      <w:bookmarkStart w:id="48" w:name="Figure_4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834640"/>
            <wp:effectExtent l="0" t="0" r="13970" b="13970"/>
            <wp:docPr id="4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8"/>
      <w:bookmarkEnd w:id="1045"/>
    </w:p>
    <w:p w14:paraId="37EAF4CF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图45  Grad-CAM 热力图</w:t>
      </w:r>
    </w:p>
    <w:p w14:paraId="71326860">
      <w:pPr>
        <w:pStyle w:val="3"/>
        <w:tabs>
          <w:tab w:val="left" w:pos="3167"/>
        </w:tabs>
        <w:bidi w:val="0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8.4  热力图与原图叠加</w:t>
      </w:r>
    </w:p>
    <w:p w14:paraId="3B2B5B53">
      <w:pPr>
        <w:tabs>
          <w:tab w:val="left" w:pos="3167"/>
        </w:tabs>
        <w:bidi w:val="0"/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热力图叠加在原始图片上，直观展示模型重点关注区域</w:t>
      </w:r>
    </w:p>
    <w:p w14:paraId="1C433AD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"Figure_46"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46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图46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7F630716">
      <w:pPr>
        <w:keepNext/>
        <w:keepLines/>
        <w:tabs>
          <w:tab w:val="left" w:pos="3167"/>
        </w:tabs>
        <w:bidi w:val="0"/>
        <w:spacing w:before="60" w:after="40" w:line="240" w:lineRule="auto"/>
        <w:jc w:val="center"/>
      </w:pPr>
      <w:bookmarkStart w:id="1046" w:name="Figure_46"/>
      <w:bookmarkStart w:id="49" w:name="Figure_4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834640"/>
            <wp:effectExtent l="0" t="0" r="6350" b="8890"/>
            <wp:docPr id="4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9"/>
      <w:bookmarkEnd w:id="1046"/>
    </w:p>
    <w:p w14:paraId="7588FD01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图46  Grad-CAM 热力图与原图叠加结果</w:t>
      </w:r>
    </w:p>
    <w:p w14:paraId="3DBC4DAD">
      <w:pPr>
        <w:pStyle w:val="3"/>
        <w:tabs>
          <w:tab w:val="left" w:pos="3167"/>
        </w:tabs>
        <w:bidi w:val="0"/>
        <w:spacing w:before="260" w:after="260" w:line="24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8.5  类别激活结果分析</w:t>
      </w:r>
    </w:p>
    <w:p w14:paraId="75B62BD0">
      <w:pPr>
        <w:tabs>
          <w:tab w:val="left" w:pos="3167"/>
        </w:tabs>
        <w:bidi w:val="0"/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1. 生成的 CAM 热力叠加图中，高亮暖色区域集中在图片中目标物体（猫 / 狗）本体位置，而背景（地板、墙面）大多是蓝色冷色。</w:t>
      </w:r>
    </w:p>
    <w:p w14:paraId="7593B1D5">
      <w:pPr>
        <w:tabs>
          <w:tab w:val="left" w:pos="3167"/>
        </w:tabs>
        <w:bidi w:val="0"/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2. 说明 VGG16 做图像分类时，不是随机看整张图片，主要依靠目标物体本体的特征来输出分类结果，背景干扰信息对分类的贡献较低。</w:t>
      </w:r>
    </w:p>
    <w:p w14:paraId="665E729A">
      <w:pPr>
        <w:tabs>
          <w:tab w:val="left" w:pos="3167"/>
        </w:tabs>
        <w:bidi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3. 对比前面单独看某一个通道的特征图：单独通道只能看到某一类局部特征；CAM 是所有通道按分类重要性加权后的综合结果，直接体现对分类起决定性作用的图像位置。</w:t>
      </w:r>
    </w:p>
    <w:p w14:paraId="098149C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"Figure_47"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47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图47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5123D05F">
      <w:pPr>
        <w:keepNext/>
        <w:keepLines/>
        <w:spacing w:before="60" w:after="40" w:line="240" w:lineRule="auto"/>
        <w:jc w:val="center"/>
      </w:pPr>
      <w:bookmarkStart w:id="1047" w:name="Figure_47"/>
      <w:bookmarkStart w:id="50" w:name="Figure_47"/>
      <w:r>
        <w:rPr>
          <w:rFonts w:ascii="Times New Roman" w:hAnsi="Times New Roman" w:eastAsia="宋体"/>
          <w:color w:val="000000"/>
          <w:sz w:val="24"/>
        </w:rPr>
        <w:drawing>
          <wp:inline distT="0" distB="0" distL="0" distR="0">
            <wp:extent cx="3779520" cy="2834640"/>
            <wp:effectExtent l="0" t="0" r="5080" b="3175"/>
            <wp:docPr id="5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0"/>
      <w:bookmarkEnd w:id="1047"/>
    </w:p>
    <w:p w14:paraId="22BF1A13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图47  VGG16 类别激活可视化结果</w:t>
      </w:r>
    </w:p>
    <w:p w14:paraId="456C8778">
      <w:pPr>
        <w:pStyle w:val="2"/>
        <w:bidi w:val="0"/>
        <w:spacing w:before="340" w:after="330" w:line="240" w:lineRule="auto"/>
        <w:jc w:val="left"/>
        <w:rPr>
          <w:rFonts w:hint="default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44"/>
          <w:szCs w:val="44"/>
          <w:bCs w:val="1"/>
        </w:rPr>
        <w:t>9  电力负荷预测中的特征工程</w:t>
      </w:r>
    </w:p>
    <w:p w14:paraId="6B3F2A49">
      <w:pPr>
        <w:pStyle w:val="3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9.1  基线特征模型</w:t>
      </w:r>
    </w:p>
    <w:p w14:paraId="3E4E8C5F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运行代码结果</w:t>
      </w:r>
    </w:p>
    <w:p w14:paraId="26E4C53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"Figure_48"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48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图48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66D84BB1">
      <w:pPr>
        <w:keepNext/>
        <w:keepLines/>
        <w:spacing w:before="60" w:after="40" w:line="240" w:lineRule="auto"/>
        <w:jc w:val="center"/>
      </w:pPr>
      <w:bookmarkStart w:id="1048" w:name="Figure_48"/>
      <w:bookmarkStart w:id="51" w:name="Figure_4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1863090"/>
            <wp:effectExtent l="0" t="0" r="7620" b="0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863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1"/>
      <w:bookmarkEnd w:id="1048"/>
    </w:p>
    <w:p w14:paraId="03170942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图48  基线特征模型的预测结果</w:t>
      </w:r>
    </w:p>
    <w:p w14:paraId="40E15CE2">
      <w:pPr>
        <w:pStyle w:val="3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9.2  人工构造滞后与统计特征</w:t>
      </w:r>
    </w:p>
    <w:p w14:paraId="4BE7EBA2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代码运行结果</w:t>
      </w:r>
    </w:p>
    <w:p w14:paraId="547CDF15">
      <w:pPr>
        <w:spacing w:before="0" w:after="0" w:line="360" w:lineRule="auto"/>
        <w:ind w:firstLine="480"/>
        <w:jc w:val="both"/>
        <w:rPr>
          <w:rFonts w:hint="eastAsia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基线模型仅使用月份、星期、季节和是否周末等日历类别特征，并由 Embedding 与 MLP 学习非线性关系；它未显式利用历史负荷信息。</w:t>
      </w:r>
    </w:p>
    <w:p w14:paraId="5314C67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"Figure_49"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49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图49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64DC3D04">
      <w:pPr>
        <w:keepNext/>
        <w:keepLines/>
        <w:spacing w:before="60" w:after="40" w:line="240" w:lineRule="auto"/>
        <w:jc w:val="center"/>
      </w:pPr>
      <w:bookmarkStart w:id="1049" w:name="Figure_49"/>
      <w:bookmarkStart w:id="52" w:name="Figure_4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448560"/>
            <wp:effectExtent l="0" t="0" r="6350" b="8890"/>
            <wp:docPr id="65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5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448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2"/>
      <w:bookmarkEnd w:id="1049"/>
    </w:p>
    <w:p w14:paraId="1134AA1C">
      <w:pPr>
        <w:pStyle w:val="34"/>
        <w:keepLines/>
        <w:spacing w:before="0" w:after="120" w:line="240" w:lineRule="auto"/>
        <w:jc w:val="center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图49  加入滞后与统计特征后的预测结果</w:t>
      </w:r>
    </w:p>
    <w:p w14:paraId="4DBE5A3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"Figure_50"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50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图50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070F91B2">
      <w:pPr>
        <w:pStyle w:val="34"/>
        <w:keepNext/>
        <w:keepLines/>
        <w:spacing w:before="60" w:after="40" w:line="240" w:lineRule="auto"/>
        <w:jc w:val="center"/>
        <w:rPr>
          <w:rFonts w:ascii="Times New Roman" w:hAnsi="Times New Roman" w:eastAsia="宋体"/>
          <w:sz w:val="21"/>
        </w:rPr>
      </w:pPr>
      <w:bookmarkStart w:id="1050" w:name="Figure_50"/>
      <w:bookmarkStart w:id="53" w:name="Figure_5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1739900"/>
            <wp:effectExtent l="0" t="0" r="7620" b="762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740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3"/>
      <w:bookmarkEnd w:id="1050"/>
    </w:p>
    <w:p w14:paraId="1AC6769D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图50  加入滞后与统计特征后的测试指标</w:t>
      </w:r>
    </w:p>
    <w:p w14:paraId="7F72B7A0">
      <w:pPr>
        <w:spacing w:before="0" w:after="0" w:line="360" w:lineRule="auto"/>
        <w:ind w:firstLine="480"/>
        <w:jc w:val="both"/>
        <w:rPr>
          <w:rFonts w:hint="eastAsia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基线模型未引入历史负荷特征，仅采用月份、星期、季节、是否周末日历特征，由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"Figure_48"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48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图48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 xml:space="preserve"> 可得测试集指标：RMSE=1.0341，MAE=0.9522。在保持实验条件一致的前提下，引入滞后负荷、滑动均值、负荷差值等时序特征后，由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"Figure_49"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49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图49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 xml:space="preserve"> 可得测试集指标：RMSE=1.0194，MAE=0.9363。 本实验采用时序顺序划分数据集，按照时间先后顺序将全部数据前 80% 划分为训练集，后 20% 作为测试集，全程不采用随机打乱划分方式，规避时序数据泄露问题。对比结果可见，增加历史时序特征后模型 RMSE 与 MAE 均有所下降，预测精度得到小幅提升。</w:t>
      </w:r>
    </w:p>
    <w:p w14:paraId="28499626">
      <w:pPr>
        <w:spacing w:line="360" w:lineRule="auto" w:before="0" w:after="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代码复核发现，原始写法 Delta_1 = Load - Lag_1 在构造当天输入时使用了当天真实负荷，会造成目标泄漏。统一复现实验将其修正为 Delta_1 = Lag_1 - Lag_2，即“昨日负荷减前日负荷”，使所有输入在预测时均可获得。连续特征和目标值的标准化参数仅由训练集拟合，再应用于测试集。</w:t>
      </w:r>
    </w:p>
    <w:p w14:paraId="33AF79BE">
      <w:pPr>
        <w:spacing w:before="0" w:after="0" w:line="360" w:lineRule="auto"/>
        <w:ind w:firstLine="480"/>
        <w:jc w:val="both"/>
        <w:rPr>
          <w:rFonts w:hint="eastAsia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改进模型在日历特征之外加入昨日负荷、上周同期负荷、过去三天平均负荷和近期变化量。严格来说，这些属于人工构造的滞后与统计特征，而非类别特征之间的显式交叉；它们分别刻画短期连续性、周周期、近期水平和变化趋势。</w:t>
      </w:r>
    </w:p>
    <w:p w14:paraId="2F14A903">
      <w:pPr>
        <w:pStyle w:val="3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9.3  问题分析与解决方案</w:t>
      </w:r>
    </w:p>
    <w:p w14:paraId="68D4BAD9">
      <w:pPr>
        <w:pStyle w:val="33"/>
        <w:spacing w:before="120" w:after="120" w:line="240" w:lineRule="auto"/>
        <w:jc w:val="left"/>
        <w:rPr>
          <w:rFonts w:hint="default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28"/>
          <w:szCs w:val="28"/>
          <w:bCs w:val="1"/>
        </w:rPr>
        <w:t>9.3.1  缺少 pandas</w:t>
      </w:r>
    </w:p>
    <w:p w14:paraId="3ABE643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"Figure_51"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51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图51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28897BD2">
      <w:pPr>
        <w:keepNext/>
        <w:keepLines/>
        <w:spacing w:before="60" w:after="40" w:line="240" w:lineRule="auto"/>
        <w:jc w:val="center"/>
      </w:pPr>
      <w:bookmarkStart w:id="1051" w:name="Figure_51"/>
      <w:bookmarkStart w:id="54" w:name="Figure_5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735330"/>
            <wp:effectExtent l="0" t="0" r="12065" b="3810"/>
            <wp:docPr id="5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35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4"/>
      <w:bookmarkEnd w:id="1051"/>
    </w:p>
    <w:p w14:paraId="1EDCA3E3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图51  缺少 pandas 时的报错信息</w:t>
      </w:r>
    </w:p>
    <w:p w14:paraId="0A602E5A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当前 PyTorch 虚拟环境缺少 pandas 库，程序无法导入相应模块。</w:t>
      </w:r>
    </w:p>
    <w:p w14:paraId="42B7C07E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解决办法</w:t>
      </w:r>
    </w:p>
    <w:p w14:paraId="22BE48DE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在 Anaconda Prompt 中激活 pytorch 环境后执行 conda install pandas，安装完成后重新运行程序。</w:t>
      </w:r>
    </w:p>
    <w:p w14:paraId="5125EC3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"Figure_52"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52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图52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1AB44958">
      <w:pPr>
        <w:keepNext/>
        <w:keepLines/>
        <w:spacing w:before="60" w:after="40" w:line="240" w:lineRule="auto"/>
        <w:jc w:val="center"/>
      </w:pPr>
      <w:bookmarkStart w:id="1052" w:name="Figure_52"/>
      <w:bookmarkStart w:id="55" w:name="Figure_5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1346835"/>
            <wp:effectExtent l="0" t="0" r="8890" b="3175"/>
            <wp:docPr id="5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34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5"/>
      <w:bookmarkEnd w:id="1052"/>
    </w:p>
    <w:p w14:paraId="12CF904E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图52  pandas 安装结果</w:t>
      </w:r>
    </w:p>
    <w:p w14:paraId="2E6A2514">
      <w:pPr>
        <w:pStyle w:val="33"/>
        <w:spacing w:before="120" w:after="12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28"/>
          <w:szCs w:val="28"/>
          <w:bCs w:val="1"/>
        </w:rPr>
        <w:t>9.3.2  缺少 scikit-learn</w:t>
      </w:r>
    </w:p>
    <w:p w14:paraId="43CF512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"Figure_53"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53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图53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27E0EB4F">
      <w:pPr>
        <w:keepNext/>
        <w:keepLines/>
        <w:spacing w:before="60" w:after="40" w:line="240" w:lineRule="auto"/>
        <w:jc w:val="center"/>
      </w:pPr>
      <w:bookmarkStart w:id="1053" w:name="Figure_53"/>
      <w:bookmarkStart w:id="56" w:name="Figure_5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743585"/>
            <wp:effectExtent l="0" t="0" r="8255" b="5080"/>
            <wp:docPr id="5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4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743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6"/>
      <w:bookmarkEnd w:id="1053"/>
    </w:p>
    <w:p w14:paraId="13DA1064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图53  缺少 scikit-learn 时的报错信息</w:t>
      </w:r>
    </w:p>
    <w:p w14:paraId="07F6D571">
      <w:pPr>
        <w:spacing w:before="0" w:after="0" w:line="360" w:lineRule="auto"/>
        <w:ind w:firstLine="480"/>
        <w:jc w:val="both"/>
        <w:rPr>
          <w:rFonts w:hint="default"/>
          <w:lang w:val="en-US"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导入名为 sklearn，但安装包名为 scikit-learn；当前 PyTorch Conda 环境缺少该依赖。</w:t>
      </w:r>
    </w:p>
    <w:p w14:paraId="2A9195FA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解决办法</w:t>
      </w:r>
    </w:p>
    <w:p w14:paraId="4C2EC1BA">
      <w:pPr>
        <w:pStyle w:val="12"/>
        <w:keepLines w:val="0"/>
        <w:widowControl/>
        <w:suppressLineNumbers w:val="0"/>
        <w:spacing w:before="0" w:after="0" w:line="360" w:lineRule="auto"/>
        <w:ind w:firstLine="480"/>
        <w:jc w:val="both"/>
        <w:rPr>
          <w:rFonts w:hint="eastAsia" w:ascii="Consolas" w:hAnsi="Consolas" w:eastAsia="宋体" w:cs="Consolas"/>
          <w:lang w:val="en-US"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在 Anaconda Prompt 中激活 pytorch 环境后执行 conda install scikit-learn。</w:t>
      </w:r>
    </w:p>
    <w:p w14:paraId="738D35C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"Figure_54"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54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图54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3CD102B3">
      <w:pPr>
        <w:keepNext/>
        <w:keepLines/>
        <w:spacing w:before="60" w:after="40" w:line="240" w:lineRule="auto"/>
        <w:jc w:val="center"/>
      </w:pPr>
      <w:bookmarkStart w:id="1054" w:name="Figure_54"/>
      <w:bookmarkStart w:id="57" w:name="Figure_5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818765"/>
            <wp:effectExtent l="0" t="0" r="7620" b="0"/>
            <wp:docPr id="5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4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19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7"/>
      <w:bookmarkEnd w:id="1054"/>
    </w:p>
    <w:p w14:paraId="66B1FA95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图54  scikit-learn 安装结果</w:t>
      </w:r>
    </w:p>
    <w:p w14:paraId="17E113E6">
      <w:pPr>
        <w:pStyle w:val="33"/>
        <w:spacing w:before="120" w:after="12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28"/>
          <w:szCs w:val="28"/>
          <w:bCs w:val="1"/>
        </w:rPr>
        <w:t>9.3.3  缺少 openpyxl</w:t>
      </w:r>
    </w:p>
    <w:p w14:paraId="40733F4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"Figure_55"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55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图55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218A8A67">
      <w:pPr>
        <w:keepNext/>
        <w:keepLines/>
        <w:spacing w:before="60" w:after="40" w:line="240" w:lineRule="auto"/>
        <w:jc w:val="center"/>
      </w:pPr>
      <w:bookmarkStart w:id="1055" w:name="Figure_55"/>
      <w:bookmarkStart w:id="58" w:name="Figure_5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1022985"/>
            <wp:effectExtent l="0" t="0" r="13335" b="9525"/>
            <wp:docPr id="56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4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023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8"/>
      <w:bookmarkEnd w:id="1055"/>
    </w:p>
    <w:p w14:paraId="59F0C070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图55  缺少 openpyxl 时的报错信息</w:t>
      </w:r>
    </w:p>
    <w:p w14:paraId="35B45A7E">
      <w:pPr>
        <w:spacing w:before="0" w:after="0" w:line="360" w:lineRule="auto"/>
        <w:ind w:firstLine="480"/>
        <w:jc w:val="both"/>
        <w:rPr>
          <w:rFonts w:hint="default"/>
          <w:lang w:val="en-US"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pandas 读写 .xlsx 文件需要 openpyxl；当前 PyTorch 环境缺少该依赖。</w:t>
      </w:r>
    </w:p>
    <w:p w14:paraId="131F9C26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解决办法</w:t>
      </w:r>
    </w:p>
    <w:p w14:paraId="3BC367A1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在 Anaconda Prompt 中激活 pytorch 环境后执行 conda install openpyxl。</w:t>
      </w:r>
    </w:p>
    <w:p w14:paraId="4C0A861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"Figure_56"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56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图56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1EDE2672">
      <w:pPr>
        <w:keepNext/>
        <w:keepLines/>
        <w:spacing w:before="60" w:after="40" w:line="240" w:lineRule="auto"/>
        <w:jc w:val="center"/>
      </w:pPr>
      <w:bookmarkStart w:id="1056" w:name="Figure_56"/>
      <w:bookmarkStart w:id="59" w:name="Figure_5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1109980"/>
            <wp:effectExtent l="0" t="0" r="0" b="0"/>
            <wp:docPr id="58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4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110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9"/>
      <w:bookmarkEnd w:id="1056"/>
    </w:p>
    <w:p w14:paraId="718A717E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图56  openpyxl 安装结果</w:t>
      </w:r>
    </w:p>
    <w:p w14:paraId="4C3B8FBE">
      <w:pPr>
        <w:pStyle w:val="2"/>
        <w:numPr>
          <w:ilvl w:val="0"/>
          <w:numId w:val="0"/>
        </w:numPr>
        <w:bidi w:val="0"/>
        <w:spacing w:before="340" w:after="33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44"/>
          <w:szCs w:val="44"/>
          <w:bCs w:val="1"/>
        </w:rPr>
        <w:t>10  TabNet 电力负荷预测</w:t>
      </w:r>
    </w:p>
    <w:p w14:paraId="5E04B075">
      <w:pPr>
        <w:pStyle w:val="3"/>
        <w:numPr>
          <w:ilvl w:val="0"/>
          <w:numId w:val="0"/>
        </w:numPr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10.1  运行结果</w:t>
      </w:r>
    </w:p>
    <w:p w14:paraId="13A1BFB3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 xml:space="preserve"> 特征重要性柱状图</w:t>
      </w:r>
    </w:p>
    <w:p w14:paraId="195A5737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作用：可解释分析，看哪个特征最重要，看到 Lag_1 前一日负荷贡献最大。</w:t>
      </w:r>
    </w:p>
    <w:p w14:paraId="7C1A9348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 xml:space="preserve"> 真实‑预测折线对比图</w:t>
      </w:r>
    </w:p>
    <w:p w14:paraId="4D392E5E">
      <w:pPr>
        <w:numPr>
          <w:ilvl w:val="0"/>
          <w:numId w:val="0"/>
        </w:numPr>
        <w:spacing w:before="0" w:after="0" w:line="360" w:lineRule="auto"/>
        <w:ind w:firstLine="480"/>
        <w:jc w:val="both"/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作用：直观展示电力负荷预测效果，看曲线能跟上真实负荷的起伏，代表预测任务完成。</w:t>
      </w:r>
    </w:p>
    <w:p w14:paraId="09A1044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"Figure_57"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57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图57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5A46B80C">
      <w:pPr>
        <w:keepNext/>
        <w:keepLines/>
        <w:spacing w:before="60" w:after="40" w:line="240" w:lineRule="auto"/>
        <w:jc w:val="center"/>
      </w:pPr>
      <w:bookmarkStart w:id="1057" w:name="Figure_57"/>
      <w:bookmarkStart w:id="60" w:name="Figure_5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1889125"/>
            <wp:effectExtent l="0" t="0" r="9525" b="4445"/>
            <wp:docPr id="67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5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889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0"/>
      <w:bookmarkEnd w:id="1057"/>
    </w:p>
    <w:p w14:paraId="7390F6B1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图57  TabNet 特征重要性结果</w:t>
      </w:r>
    </w:p>
    <w:p w14:paraId="4419D39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"Figure_58"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58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图58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4F1F9117">
      <w:pPr>
        <w:keepNext/>
        <w:keepLines/>
        <w:spacing w:before="60" w:after="40" w:line="240" w:lineRule="auto"/>
        <w:jc w:val="center"/>
      </w:pPr>
      <w:bookmarkStart w:id="1058" w:name="Figure_58"/>
      <w:bookmarkStart w:id="61" w:name="Figure_5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1574165"/>
            <wp:effectExtent l="0" t="0" r="11430" b="12065"/>
            <wp:docPr id="68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5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574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1"/>
      <w:bookmarkEnd w:id="1058"/>
    </w:p>
    <w:p w14:paraId="763761AD">
      <w:pPr>
        <w:pStyle w:val="34"/>
        <w:keepLines/>
        <w:spacing w:before="0" w:after="120" w:line="240" w:lineRule="auto"/>
        <w:jc w:val="center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图58  TabNet 真实值与预测值对比</w:t>
      </w:r>
    </w:p>
    <w:p w14:paraId="7673D23A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"Figure_59"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59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图59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3E79B4FA">
      <w:pPr>
        <w:pStyle w:val="34"/>
        <w:keepNext/>
        <w:keepLines/>
        <w:spacing w:before="60" w:after="40" w:line="240" w:lineRule="auto"/>
        <w:jc w:val="center"/>
        <w:rPr>
          <w:rFonts w:ascii="Times New Roman" w:hAnsi="Times New Roman" w:eastAsia="宋体"/>
          <w:sz w:val="21"/>
        </w:rPr>
      </w:pPr>
      <w:bookmarkStart w:id="1059" w:name="Figure_59"/>
      <w:bookmarkStart w:id="62" w:name="Figure_5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266950"/>
            <wp:effectExtent l="0" t="0" r="0" b="0"/>
            <wp:docPr id="5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267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2"/>
      <w:bookmarkEnd w:id="1059"/>
    </w:p>
    <w:p w14:paraId="23B78169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图59  TabNet 参数量及特征重要性数值</w:t>
      </w:r>
    </w:p>
    <w:p w14:paraId="7D9E0DF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"Figure_60"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60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图60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5BDC3E2A">
      <w:pPr>
        <w:pStyle w:val="34"/>
        <w:keepNext/>
        <w:keepLines/>
        <w:spacing w:before="60" w:after="40" w:line="240" w:lineRule="auto"/>
        <w:jc w:val="center"/>
        <w:rPr>
          <w:rFonts w:ascii="Times New Roman" w:hAnsi="Times New Roman" w:eastAsia="宋体"/>
          <w:sz w:val="21"/>
        </w:rPr>
      </w:pPr>
      <w:bookmarkStart w:id="1060" w:name="Figure_60"/>
      <w:bookmarkStart w:id="63" w:name="Figure_6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2102485"/>
            <wp:effectExtent l="0" t="0" r="8255" b="5080"/>
            <wp:docPr id="4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02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3"/>
      <w:bookmarkEnd w:id="1060"/>
    </w:p>
    <w:p w14:paraId="59BB51A0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图60  TabNet 测试指标与特征重要性输出</w:t>
      </w:r>
    </w:p>
    <w:p w14:paraId="758B258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本实验按时间顺序将前80%样本作为训练集、后20%作为测试集，并仅用训练集拟合标准化器。修正目标泄漏后，TabNet在第33轮取得最佳结果，训练时间为31.79秒；标准化尺度下MAE=0.3267、RMSE=0.4785、R²=0.8186。特征重要性图仍表明Lag_1是关键输入，说明前一日负荷对当天负荷具有较强解释力。预测曲线能够跟随主要周期变化，但在突发尖峰和低谷处仍存在较大偏差。</w:t>
      </w:r>
    </w:p>
    <w:p w14:paraId="663ECB48">
      <w:pPr>
        <w:pStyle w:val="2"/>
        <w:numPr>
          <w:ilvl w:val="0"/>
          <w:numId w:val="0"/>
        </w:numPr>
        <w:bidi w:val="0"/>
        <w:spacing w:before="340" w:after="33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44"/>
          <w:szCs w:val="44"/>
          <w:bCs w:val="1"/>
        </w:rPr>
        <w:t>11  FT-Transformer 电力负荷预测</w:t>
      </w:r>
    </w:p>
    <w:p w14:paraId="66149F40">
      <w:pPr>
        <w:pStyle w:val="3"/>
        <w:numPr>
          <w:ilvl w:val="0"/>
          <w:numId w:val="0"/>
        </w:numPr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11.1  FT-Transformer 电力负荷预测结果</w:t>
      </w:r>
    </w:p>
    <w:p w14:paraId="56DEC1A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"Figure_61"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61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图61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2868FD7C">
      <w:pPr>
        <w:keepNext/>
        <w:keepLines/>
        <w:numPr>
          <w:ilvl w:val="0"/>
          <w:numId w:val="0"/>
        </w:numPr>
        <w:spacing w:before="60" w:after="40" w:line="240" w:lineRule="auto"/>
        <w:jc w:val="center"/>
      </w:pPr>
      <w:bookmarkStart w:id="1061" w:name="Figure_61"/>
      <w:bookmarkStart w:id="64" w:name="Figure_6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1277620"/>
            <wp:effectExtent l="0" t="0" r="6350" b="3810"/>
            <wp:docPr id="5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7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277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4"/>
      <w:bookmarkEnd w:id="1061"/>
    </w:p>
    <w:p w14:paraId="419861EF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图61  FT-Transformer 训练过程</w:t>
      </w:r>
    </w:p>
    <w:p w14:paraId="2ABC36E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"Figure_62"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62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图62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51FE84D1">
      <w:pPr>
        <w:keepNext/>
        <w:keepLines/>
        <w:spacing w:before="60" w:after="40" w:line="240" w:lineRule="auto"/>
        <w:jc w:val="center"/>
      </w:pPr>
      <w:bookmarkStart w:id="1062" w:name="Figure_62"/>
      <w:bookmarkStart w:id="65" w:name="Figure_6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779520" cy="1574165"/>
            <wp:effectExtent l="0" t="0" r="8255" b="13970"/>
            <wp:docPr id="34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58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574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5"/>
      <w:bookmarkEnd w:id="1062"/>
    </w:p>
    <w:p w14:paraId="3FEA8B8B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图62  FT-Transformer 真实值与预测值对比</w:t>
      </w:r>
    </w:p>
    <w:p w14:paraId="48A28F0F">
      <w:pPr>
        <w:pStyle w:val="3"/>
        <w:spacing w:line="240" w:lineRule="auto" w:before="260" w:after="260"/>
        <w:jc w:val="left"/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11.2  统一条件下的模型比较</w:t>
      </w:r>
    </w:p>
    <w:p w14:paraId="05309E62">
      <w:pPr>
        <w:spacing w:line="360" w:lineRule="auto" w:before="0" w:after="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三种模型统一使用Area1_Load工作表的T1200负荷，采用相同的滞后与统计特征、前80%训练/后20%测试的时序划分、随机种子42以及训练集拟合的标准化器。训练时间仅统计模型训练过程；运行环境为5核CPU，因此时间会随硬件变化。</w:t>
      </w:r>
    </w:p>
    <w:p w14:paraId="78D3D936">
      <w:pPr>
        <w:spacing w:before="0" w:after="0" w:line="360" w:lineRule="auto"/>
        <w:ind w:firstLine="480"/>
        <w:jc w:val="both"/>
      </w:pP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t>三种电力负荷预测模型的量化结果见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"Table_5"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Table_5" w:history="1">
        <w:r>
          <w:rPr>
            <w:rFonts w:ascii="Times New Roman" w:hAnsi="Times New Roman" w:cs="Times New Roman" w:eastAsia="宋体"/>
            <w:color w:val="0563C1"/>
            <w:u w:val="single"/>
            <w:sz w:val="24"/>
            <w:szCs w:val="24"/>
            <w:b w:val="0"/>
            <w:bCs w:val="0"/>
          </w:rPr>
          <w:t>表5</w:t>
        </w:r>
      </w:hyperlink>
      <w:r>
        <w:rPr>
          <w:rFonts w:ascii="Times New Roman" w:hAnsi="Times New Roman" w:cs="Times New Roman" w:eastAsia="宋体"/>
          <w:color w:val="0563C1"/>
          <w:u w:val="single"/>
          <w:sz w:val="24"/>
          <w:szCs w:val="24"/>
          <w:b w:val="0"/>
          <w:bCs w:val="0"/>
        </w:rPr>
        <w:fldChar w:fldCharType="end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t>。</w:t>
      </w:r>
    </w:p>
    <w:p w14:paraId="7C323B3A">
      <w:pPr>
        <w:spacing w:before="0" w:after="120" w:line="240" w:lineRule="auto"/>
        <w:jc w:val="center"/>
      </w:pPr>
      <w:bookmarkStart w:id="2005" w:name="Table_5"/>
      <w:bookmarkStart w:id="66" w:name="Table_5"/>
      <w:r>
        <w:rPr>
          <w:rFonts w:ascii="Times New Roman" w:hAnsi="Times New Roman" w:cs="Times New Roman" w:eastAsia="宋体"/>
          <w:sz w:val="21"/>
          <w:szCs w:val="21"/>
          <w:b w:val="0"/>
          <w:bCs w:val="0"/>
        </w:rPr>
        <w:t>表5  MLP、TabNet与FT-Transformer结果对比</w:t>
      </w:r>
      <w:bookmarkEnd w:id="66"/>
      <w:bookmarkEnd w:id="2005"/>
    </w:p>
    <w:tbl>
      <w:tblPr>
        <w:tblStyle w:val="15"/>
        <w:tblW w:w="4165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8"/>
        <w:gridCol w:w="871"/>
        <w:gridCol w:w="797"/>
        <w:gridCol w:w="1129"/>
        <w:gridCol w:w="818"/>
        <w:gridCol w:w="1300"/>
        <w:gridCol w:w="1300"/>
      </w:tblGrid>
      <w:tr w14:paraId="5E46A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05FCBB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模型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92DB14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参数量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15D650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最佳轮次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318F8E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训练时间（s）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C74AF5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MAE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1BCFB3BA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RMSE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3E344C08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R²</w:t>
            </w:r>
          </w:p>
        </w:tc>
      </w:tr>
      <w:tr w14:paraId="782EF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CDFF66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MLP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A8C4D8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13231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6BA71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24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B14B6D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7.52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7B94DE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0.2389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127F351F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0.4071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3DB4D943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0.8687</w:t>
            </w:r>
          </w:p>
        </w:tc>
      </w:tr>
      <w:tr w14:paraId="36BDD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4AF4F1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TabNet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0C9946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27140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91B3E7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33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281987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31.79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D7DB52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0.3267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142F78B7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0.4785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473F3896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0.8186</w:t>
            </w:r>
          </w:p>
        </w:tc>
      </w:tr>
      <w:tr w14:paraId="1AD5C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F488C5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FT-Transformer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31F5CB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599425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AA32DF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120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731E1D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96.94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149E41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0.2331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3C72AD4D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0.4061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76CBDDC9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0.8694</w:t>
            </w:r>
          </w:p>
        </w:tc>
      </w:tr>
    </w:tbl>
    <w:p w14:paraId="2AAF3445">
      <w:pPr>
        <w:spacing w:before="0" w:after="0" w:line="360" w:lineRule="auto"/>
        <w:ind w:firstLine="480"/>
        <w:jc w:val="both"/>
      </w:pP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t>由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"Table_5"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Table_5" w:history="1">
        <w:r>
          <w:rPr>
            <w:rFonts w:ascii="Times New Roman" w:hAnsi="Times New Roman" w:cs="Times New Roman" w:eastAsia="宋体"/>
            <w:color w:val="0563C1"/>
            <w:u w:val="single"/>
            <w:sz w:val="24"/>
            <w:szCs w:val="24"/>
            <w:b w:val="0"/>
            <w:bCs w:val="0"/>
          </w:rPr>
          <w:t>表5</w:t>
        </w:r>
      </w:hyperlink>
      <w:r>
        <w:rPr>
          <w:rFonts w:ascii="Times New Roman" w:hAnsi="Times New Roman" w:cs="Times New Roman" w:eastAsia="宋体"/>
          <w:color w:val="0563C1"/>
          <w:u w:val="single"/>
          <w:sz w:val="24"/>
          <w:szCs w:val="24"/>
          <w:b w:val="0"/>
          <w:bCs w:val="0"/>
        </w:rPr>
        <w:fldChar w:fldCharType="end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t>可知，在统一且无目标泄漏的评价条件下，FT-Transformer的R²最高（0.8694），但训练时间最长（96.94秒），参数量也显著高于另外两种模型；MLP的R²为0.8687，与FT-Transformer非常接近，而训练仅需7.52秒，体现出更好的计算效率；TabNet的R²为0.8186，训练时间为31.79秒，本次设置下精度低于MLP和FT-Transformer，但其特征重要性提供了更直接的可解释结果。综合精度和效率，MLP是本实验中更均衡的方案。</w:t>
      </w:r>
    </w:p>
    <w:p w14:paraId="02472C83">
      <w:pPr>
        <w:numPr>
          <w:ilvl w:val="0"/>
          <w:numId w:val="0"/>
        </w:num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修正连续特征映射层后，FT-Transformer的参数量为599,425，在第120轮获得最佳结果：标准化尺度下MAE=0.2331、RMSE=0.4061、R²=0.8694。其预测曲线能够跟随整体趋势和周期变化，但对突发尖峰与骤降的拟合仍较弱。与MLP相比，FT-Transformer的R²仅提高约0.0007，却增加了参数量和训练时间，说明当前样本规模下复杂注意力结构未带来明显收益。</w:t>
      </w:r>
      <w:bookmarkStart w:id="67" w:name="_GoBack"/>
      <w:bookmarkEnd w:id="67"/>
    </w:p>
    <w:sectPr>
      <w:footerReference r:id="rId3" w:type="default"/>
      <w:pgSz w:w="11906" w:h="16838"/>
      <w:pgMar w:top="993" w:right="1133" w:bottom="851" w:left="1418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43057154"/>
      <w:docPartObj>
        <w:docPartGallery w:val="autotext"/>
      </w:docPartObj>
    </w:sdtPr>
    <w:sdtEndPr>
      <w:rPr>
        <w:rFonts w:ascii="Times New Roman" w:hAnsi="Times New Roman" w:cs="Times New Roman"/>
        <w:sz w:val="21"/>
        <w:szCs w:val="21"/>
      </w:rPr>
    </w:sdtEndPr>
    <w:sdtContent>
      <w:p w14:paraId="51D2C555">
        <w:pPr>
          <w:pStyle w:val="8"/>
          <w:jc w:val="center"/>
          <w:rPr>
            <w:rFonts w:ascii="Times New Roman" w:hAnsi="Times New Roman" w:cs="Times New Roman"/>
            <w:sz w:val="21"/>
            <w:szCs w:val="21"/>
          </w:rPr>
        </w:pPr>
        <w:r>
          <w:rPr>
            <w:rFonts w:ascii="Times New Roman" w:hAnsi="Times New Roman" w:cs="Times New Roman"/>
            <w:sz w:val="21"/>
            <w:szCs w:val="21"/>
          </w:rPr>
          <w:fldChar w:fldCharType="begin"/>
        </w:r>
        <w:r>
          <w:rPr>
            <w:rFonts w:ascii="Times New Roman" w:hAnsi="Times New Roman" w:cs="Times New Roman"/>
            <w:sz w:val="21"/>
            <w:szCs w:val="21"/>
          </w:rPr>
          <w:instrText xml:space="preserve">PAGE   \* MERGEFORMAT</w:instrText>
        </w:r>
        <w:r>
          <w:rPr>
            <w:rFonts w:ascii="Times New Roman" w:hAnsi="Times New Roman" w:cs="Times New Roman"/>
            <w:sz w:val="21"/>
            <w:szCs w:val="21"/>
          </w:rPr>
          <w:fldChar w:fldCharType="separate"/>
        </w:r>
        <w:r>
          <w:rPr>
            <w:rFonts w:ascii="Times New Roman" w:hAnsi="Times New Roman" w:cs="Times New Roman"/>
            <w:sz w:val="21"/>
            <w:szCs w:val="21"/>
            <w:lang w:val="zh-CN"/>
          </w:rPr>
          <w:t>3</w:t>
        </w:r>
        <w:r>
          <w:rPr>
            <w:rFonts w:ascii="Times New Roman" w:hAnsi="Times New Roman" w:cs="Times New Roman"/>
            <w:sz w:val="21"/>
            <w:szCs w:val="21"/>
          </w:rPr>
          <w:fldChar w:fldCharType="end"/>
        </w:r>
      </w:p>
    </w:sdtContent>
  </w:sdt>
  <w:p w14:paraId="1DE941A5"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D4487E"/>
    <w:multiLevelType w:val="singleLevel"/>
    <w:tmpl w:val="90D4487E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2B1B0B5C"/>
    <w:multiLevelType w:val="singleLevel"/>
    <w:tmpl w:val="2B1B0B5C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ZlYjcxNjc5ODdjMGNiMGEzNmMwZmQwY2JhZTgzZjUifQ=="/>
  </w:docVars>
  <w:rsids>
    <w:rsidRoot w:val="00647362"/>
    <w:rsid w:val="0000539A"/>
    <w:rsid w:val="00017820"/>
    <w:rsid w:val="00034CBF"/>
    <w:rsid w:val="00041B7D"/>
    <w:rsid w:val="0005082E"/>
    <w:rsid w:val="00055BF5"/>
    <w:rsid w:val="000674E3"/>
    <w:rsid w:val="000A004B"/>
    <w:rsid w:val="000A2960"/>
    <w:rsid w:val="000B6FB2"/>
    <w:rsid w:val="00113B06"/>
    <w:rsid w:val="001448D6"/>
    <w:rsid w:val="00150D6B"/>
    <w:rsid w:val="001567D1"/>
    <w:rsid w:val="001A4140"/>
    <w:rsid w:val="001C6DC8"/>
    <w:rsid w:val="001D2B54"/>
    <w:rsid w:val="001F3F00"/>
    <w:rsid w:val="00217723"/>
    <w:rsid w:val="00221201"/>
    <w:rsid w:val="00240039"/>
    <w:rsid w:val="00242966"/>
    <w:rsid w:val="002764D6"/>
    <w:rsid w:val="00276AFF"/>
    <w:rsid w:val="002904F4"/>
    <w:rsid w:val="002B0F60"/>
    <w:rsid w:val="002D3593"/>
    <w:rsid w:val="002F57A3"/>
    <w:rsid w:val="00312A04"/>
    <w:rsid w:val="00324573"/>
    <w:rsid w:val="00365CD1"/>
    <w:rsid w:val="003B5758"/>
    <w:rsid w:val="003D06FB"/>
    <w:rsid w:val="003D7338"/>
    <w:rsid w:val="003F6AB7"/>
    <w:rsid w:val="00430ADB"/>
    <w:rsid w:val="004E4388"/>
    <w:rsid w:val="004E7C7C"/>
    <w:rsid w:val="004F1AAE"/>
    <w:rsid w:val="00521709"/>
    <w:rsid w:val="00534442"/>
    <w:rsid w:val="0056117F"/>
    <w:rsid w:val="00570488"/>
    <w:rsid w:val="00570CB2"/>
    <w:rsid w:val="005E1E5B"/>
    <w:rsid w:val="00647362"/>
    <w:rsid w:val="00647CD8"/>
    <w:rsid w:val="006A0044"/>
    <w:rsid w:val="006C620D"/>
    <w:rsid w:val="006E6117"/>
    <w:rsid w:val="006E7D35"/>
    <w:rsid w:val="007123B2"/>
    <w:rsid w:val="00751253"/>
    <w:rsid w:val="00763E63"/>
    <w:rsid w:val="00777A0D"/>
    <w:rsid w:val="007810AD"/>
    <w:rsid w:val="007871A0"/>
    <w:rsid w:val="00790B3E"/>
    <w:rsid w:val="00797719"/>
    <w:rsid w:val="007A3A0B"/>
    <w:rsid w:val="007C6316"/>
    <w:rsid w:val="008535DC"/>
    <w:rsid w:val="008A0B6F"/>
    <w:rsid w:val="008A0B91"/>
    <w:rsid w:val="008A7AB5"/>
    <w:rsid w:val="008D4A72"/>
    <w:rsid w:val="00917129"/>
    <w:rsid w:val="00975E44"/>
    <w:rsid w:val="00995154"/>
    <w:rsid w:val="009B5836"/>
    <w:rsid w:val="009B6C2A"/>
    <w:rsid w:val="00A01D11"/>
    <w:rsid w:val="00A1253E"/>
    <w:rsid w:val="00A152A6"/>
    <w:rsid w:val="00A76B03"/>
    <w:rsid w:val="00AC4436"/>
    <w:rsid w:val="00B064B9"/>
    <w:rsid w:val="00B70572"/>
    <w:rsid w:val="00B937C4"/>
    <w:rsid w:val="00B954BB"/>
    <w:rsid w:val="00BB654B"/>
    <w:rsid w:val="00C00323"/>
    <w:rsid w:val="00C14983"/>
    <w:rsid w:val="00C367A0"/>
    <w:rsid w:val="00C8096F"/>
    <w:rsid w:val="00C861BA"/>
    <w:rsid w:val="00CA28AC"/>
    <w:rsid w:val="00CA50DD"/>
    <w:rsid w:val="00CD3E86"/>
    <w:rsid w:val="00CF79B6"/>
    <w:rsid w:val="00D437EE"/>
    <w:rsid w:val="00D70738"/>
    <w:rsid w:val="00D87214"/>
    <w:rsid w:val="00DC68F4"/>
    <w:rsid w:val="00DE36C4"/>
    <w:rsid w:val="00E370CA"/>
    <w:rsid w:val="00E44EE7"/>
    <w:rsid w:val="00E65AEC"/>
    <w:rsid w:val="00E75C17"/>
    <w:rsid w:val="00EB4809"/>
    <w:rsid w:val="00EB58FF"/>
    <w:rsid w:val="00EF451C"/>
    <w:rsid w:val="00F62B7D"/>
    <w:rsid w:val="00F712BD"/>
    <w:rsid w:val="00F74E7B"/>
    <w:rsid w:val="00FE465D"/>
    <w:rsid w:val="03F60FF6"/>
    <w:rsid w:val="05EF65B1"/>
    <w:rsid w:val="06085F31"/>
    <w:rsid w:val="075F6EB2"/>
    <w:rsid w:val="0F9D2C6D"/>
    <w:rsid w:val="10594DE6"/>
    <w:rsid w:val="17CE7E68"/>
    <w:rsid w:val="1A181B9F"/>
    <w:rsid w:val="20D65B6A"/>
    <w:rsid w:val="280F6544"/>
    <w:rsid w:val="294F3DC5"/>
    <w:rsid w:val="2B362276"/>
    <w:rsid w:val="34B85623"/>
    <w:rsid w:val="3D121CF5"/>
    <w:rsid w:val="436505E5"/>
    <w:rsid w:val="444C059D"/>
    <w:rsid w:val="4F986114"/>
    <w:rsid w:val="5D9E5D76"/>
    <w:rsid w:val="6A7321DD"/>
    <w:rsid w:val="6DF800C1"/>
    <w:rsid w:val="72A76461"/>
    <w:rsid w:val="7B30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qFormat="1"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nhideWhenUsed="0" w:uiPriority="0" w:semiHidden="0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Theme="minorHAnsi" w:hAnsiTheme="minorHAnsi" w:eastAsiaTheme="minorEastAsia" w:cstheme="minorBidi" w:ascii="Times New Roman" w:hAnsi="Times New Roman" w:eastAsia="宋体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黑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4"/>
    <w:link w:val="29"/>
    <w:qFormat/>
    <w:uiPriority w:val="0"/>
    <w:pPr>
      <w:keepNext/>
      <w:keepLines/>
      <w:spacing w:before="260" w:after="260" w:line="416" w:lineRule="auto"/>
      <w:outlineLvl w:val="1"/>
    </w:pPr>
    <w:rPr>
      <w:rFonts w:ascii="Times New Roman" w:hAnsi="Times New Roman" w:eastAsia="黑体" w:cs="Times New Roman"/>
      <w:b/>
      <w:bCs/>
      <w:sz w:val="30"/>
      <w:szCs w:val="32"/>
    </w:rPr>
  </w:style>
  <w:style w:type="paragraph" w:styleId="5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Times New Roman" w:hAnsi="Times New Roman" w:eastAsia="黑体" w:cs="宋体"/>
      <w:b/>
      <w:bCs/>
      <w:kern w:val="0"/>
      <w:sz w:val="28"/>
      <w:szCs w:val="27"/>
      <w:lang w:val="en-US" w:eastAsia="zh-CN" w:bidi="ar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ind w:firstLine="420"/>
    </w:pPr>
  </w:style>
  <w:style w:type="paragraph" w:styleId="6">
    <w:name w:val="annotation text"/>
    <w:basedOn w:val="1"/>
    <w:link w:val="30"/>
    <w:semiHidden/>
    <w:unhideWhenUsed/>
    <w:qFormat/>
    <w:uiPriority w:val="99"/>
    <w:pPr>
      <w:jc w:val="left"/>
    </w:pPr>
  </w:style>
  <w:style w:type="paragraph" w:styleId="7">
    <w:name w:val="Balloon Text"/>
    <w:basedOn w:val="1"/>
    <w:link w:val="32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4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semiHidden/>
    <w:qFormat/>
    <w:uiPriority w:val="0"/>
    <w:pPr>
      <w:spacing w:before="120" w:after="120"/>
      <w:jc w:val="left"/>
    </w:pPr>
    <w:rPr>
      <w:rFonts w:ascii="Times New Roman" w:hAnsi="Times New Roman" w:eastAsia="宋体" w:cs="Times New Roman"/>
      <w:b/>
      <w:bCs/>
      <w:caps/>
      <w:sz w:val="20"/>
      <w:szCs w:val="20"/>
    </w:rPr>
  </w:style>
  <w:style w:type="paragraph" w:styleId="11">
    <w:name w:val="toc 2"/>
    <w:basedOn w:val="1"/>
    <w:next w:val="1"/>
    <w:semiHidden/>
    <w:qFormat/>
    <w:uiPriority w:val="0"/>
    <w:pPr>
      <w:ind w:left="210"/>
      <w:jc w:val="left"/>
    </w:pPr>
    <w:rPr>
      <w:rFonts w:ascii="Times New Roman" w:hAnsi="Times New Roman" w:eastAsia="宋体" w:cs="Times New Roman"/>
      <w:smallCaps/>
      <w:sz w:val="20"/>
      <w:szCs w:val="20"/>
    </w:rPr>
  </w:style>
  <w:style w:type="paragraph" w:styleId="12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annotation subject"/>
    <w:basedOn w:val="6"/>
    <w:next w:val="6"/>
    <w:link w:val="31"/>
    <w:semiHidden/>
    <w:unhideWhenUsed/>
    <w:uiPriority w:val="99"/>
    <w:rPr>
      <w:b/>
      <w:bCs/>
    </w:rPr>
  </w:style>
  <w:style w:type="table" w:styleId="16">
    <w:name w:val="Table Grid"/>
    <w:basedOn w:val="1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page number"/>
    <w:basedOn w:val="17"/>
    <w:uiPriority w:val="0"/>
  </w:style>
  <w:style w:type="character" w:styleId="20">
    <w:name w:val="Hyperlink"/>
    <w:basedOn w:val="17"/>
    <w:qFormat/>
    <w:uiPriority w:val="0"/>
    <w:rPr>
      <w:color w:val="0000FF"/>
      <w:u w:val="single"/>
    </w:rPr>
  </w:style>
  <w:style w:type="character" w:styleId="21">
    <w:name w:val="HTML Code"/>
    <w:basedOn w:val="17"/>
    <w:uiPriority w:val="0"/>
    <w:rPr>
      <w:rFonts w:ascii="Courier New" w:hAnsi="Courier New"/>
      <w:sz w:val="20"/>
    </w:rPr>
  </w:style>
  <w:style w:type="character" w:styleId="22">
    <w:name w:val="annotation reference"/>
    <w:basedOn w:val="17"/>
    <w:semiHidden/>
    <w:unhideWhenUsed/>
    <w:uiPriority w:val="99"/>
    <w:rPr>
      <w:sz w:val="21"/>
      <w:szCs w:val="21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character" w:customStyle="1" w:styleId="24">
    <w:name w:val="页眉 字符"/>
    <w:basedOn w:val="17"/>
    <w:link w:val="9"/>
    <w:uiPriority w:val="99"/>
    <w:rPr>
      <w:sz w:val="18"/>
      <w:szCs w:val="18"/>
    </w:rPr>
  </w:style>
  <w:style w:type="character" w:customStyle="1" w:styleId="25">
    <w:name w:val="页脚 字符"/>
    <w:basedOn w:val="17"/>
    <w:link w:val="8"/>
    <w:qFormat/>
    <w:uiPriority w:val="99"/>
    <w:rPr>
      <w:sz w:val="18"/>
      <w:szCs w:val="18"/>
    </w:rPr>
  </w:style>
  <w:style w:type="character" w:customStyle="1" w:styleId="26">
    <w:name w:val="标题 1 字符"/>
    <w:basedOn w:val="17"/>
    <w:qFormat/>
    <w:uiPriority w:val="9"/>
    <w:rPr>
      <w:b/>
      <w:bCs/>
      <w:kern w:val="44"/>
      <w:sz w:val="44"/>
      <w:szCs w:val="44"/>
    </w:rPr>
  </w:style>
  <w:style w:type="character" w:customStyle="1" w:styleId="27">
    <w:name w:val="标题 2 字符"/>
    <w:basedOn w:val="17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8">
    <w:name w:val="标题 1 字符1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9">
    <w:name w:val="标题 2 字符1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30">
    <w:name w:val="批注文字 字符"/>
    <w:basedOn w:val="17"/>
    <w:link w:val="6"/>
    <w:semiHidden/>
    <w:qFormat/>
    <w:uiPriority w:val="99"/>
    <w:rPr>
      <w:kern w:val="2"/>
      <w:sz w:val="21"/>
      <w:szCs w:val="22"/>
    </w:rPr>
  </w:style>
  <w:style w:type="character" w:customStyle="1" w:styleId="31">
    <w:name w:val="批注主题 字符"/>
    <w:basedOn w:val="30"/>
    <w:link w:val="14"/>
    <w:semiHidden/>
    <w:qFormat/>
    <w:uiPriority w:val="99"/>
    <w:rPr>
      <w:b/>
      <w:bCs/>
      <w:kern w:val="2"/>
      <w:sz w:val="21"/>
      <w:szCs w:val="22"/>
    </w:rPr>
  </w:style>
  <w:style w:type="character" w:customStyle="1" w:styleId="32">
    <w:name w:val="批注框文本 字符"/>
    <w:basedOn w:val="17"/>
    <w:link w:val="7"/>
    <w:semiHidden/>
    <w:uiPriority w:val="99"/>
    <w:rPr>
      <w:kern w:val="2"/>
      <w:sz w:val="18"/>
      <w:szCs w:val="18"/>
    </w:rPr>
  </w:style>
  <w:style w:type="paragraph" w:customStyle="1" w:styleId="33">
    <w:name w:val="heading 3"/>
    <w:basedOn w:val="1"/>
    <w:uiPriority w:val="0"/>
  </w:style>
  <w:style w:type="paragraph" w:customStyle="1" w:styleId="34">
    <w:name w:val="caption"/>
    <w:basedOn w:val="1"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9" Type="http://schemas.openxmlformats.org/officeDocument/2006/relationships/fontTable" Target="fontTable.xml"/><Relationship Id="rId68" Type="http://schemas.openxmlformats.org/officeDocument/2006/relationships/customXml" Target="../customXml/item1.xml"/><Relationship Id="rId67" Type="http://schemas.openxmlformats.org/officeDocument/2006/relationships/numbering" Target="numbering.xml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180A5-5154-4282-A637-82181D8349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33</Pages>
  <Words>194</Words>
  <Characters>345</Characters>
  <Lines>3</Lines>
  <Paragraphs>1</Paragraphs>
  <TotalTime>9</TotalTime>
  <ScaleCrop>false</ScaleCrop>
  <LinksUpToDate>false</LinksUpToDate>
  <CharactersWithSpaces>379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2019-01-07T06:05:00Z</dcterms:created>
  <dc:creator>xing</dc:creator>
  <cp:lastModifiedBy>,,,,</cp:lastModifiedBy>
  <cp:lastPrinted>2019-01-07T07:10:00Z</cp:lastPrinted>
  <dcterms:modified xsi:type="dcterms:W3CDTF">2026-10-26T07:23:26Z</dcterms:modified>
  <dc:subject>课程实验结果、问题分析与模型比较</dc:subject>
  <dc:title>《深度学习案例与实践》实验报告（模板排版、紧凑版）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80F4CE03A2084A04B5F255E50C3CB52F_13</vt:lpwstr>
  </property>
  <property fmtid="{D5CDD505-2E9C-101B-9397-08002B2CF9AE}" pid="4" name="KSOTemplateDocerSaveRecord">
    <vt:lpwstr>eyJoZGlkIjoiYzE4ODM4OGNjMjg4NzA0NDQyOTRlNGUzYTcxOTI1ZDQiLCJ1c2VySWQiOiIxMjYxOTIyNDg2In0=</vt:lpwstr>
  </property>
</Properties>
</file>