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黑体" w:cs="Times New Roman"/>
          <w:b/>
          <w:sz w:val="72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黑体" w:cs="Times New Roman"/>
          <w:b/>
          <w:sz w:val="4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4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相关操作或实验结果如图1所示。</w:t>
      </w:r>
    </w:p>
    <w:p w14:paraId="231E63A7">
      <w:pPr>
        <w:jc w:val="center"/>
      </w:pPr>
      <w:r>
        <w:drawing>
          <wp:inline distT="0" distB="0" distL="114300" distR="114300">
            <wp:extent cx="4320000" cy="2086021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CDE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Windows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相关操作或实验结果如图2所示。</w:t>
      </w:r>
    </w:p>
    <w:p w14:paraId="1FCC7614">
      <w:pPr>
        <w:jc w:val="center"/>
      </w:pPr>
      <w:r>
        <w:drawing>
          <wp:inline distT="0" distB="0" distL="114300" distR="114300">
            <wp:extent cx="4320000" cy="18167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EA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相关操作或实验结果如图3所示。</w:t>
      </w:r>
    </w:p>
    <w:p w14:paraId="00318F5A">
      <w:pPr>
        <w:jc w:val="center"/>
      </w:pPr>
      <w:r>
        <w:drawing>
          <wp:inline distT="0" distB="0" distL="114300" distR="114300">
            <wp:extent cx="4320000" cy="225557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94B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相关操作或实验结果如图4所示。</w:t>
      </w:r>
    </w:p>
    <w:p w14:paraId="12B81B27">
      <w:pPr>
        <w:jc w:val="center"/>
      </w:pPr>
      <w:r>
        <w:drawing>
          <wp:inline distT="0" distB="0" distL="114300" distR="114300">
            <wp:extent cx="4320000" cy="2239694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EAA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729631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E83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852971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4FB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817263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AE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251125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F31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20000" cy="2845498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43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相关操作或实验结果如图10所示。</w:t>
      </w:r>
    </w:p>
    <w:p w14:paraId="707B963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11904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A77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相关操作或实验结果如图11所示。</w:t>
      </w:r>
    </w:p>
    <w:p w14:paraId="4CF9D2D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643563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6C3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相关操作或实验结果如图12所示。</w:t>
      </w:r>
    </w:p>
    <w:p w14:paraId="1C3619C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20000" cy="494041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CE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相关操作或实验结果如图13所示。</w:t>
      </w:r>
    </w:p>
    <w:p w14:paraId="6CBE3A1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554661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8C67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相关操作或实验结果如图14所示。</w:t>
      </w:r>
    </w:p>
    <w:p w14:paraId="5648FEF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71595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346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图14  隐藏层宽度调整后的准确率曲线</w:t>
      </w:r>
    </w:p>
    <w:tbl>
      <w:tblPr>
        <w:tblW w:w="5000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2052"/>
        <w:gridCol w:w="2052"/>
        <w:gridCol w:w="1834"/>
        <w:gridCol w:w="1835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相关操作或实验结果如图15所示。</w:t>
      </w:r>
    </w:p>
    <w:p w14:paraId="08BDAF13">
      <w:pPr>
        <w:jc w:val="center"/>
      </w:pPr>
      <w:r>
        <w:drawing>
          <wp:inline distT="0" distB="0" distL="114300" distR="114300">
            <wp:extent cx="4320000" cy="296424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D3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相关操作或实验结果如图16所示。</w:t>
      </w:r>
    </w:p>
    <w:p w14:paraId="68CE5F48">
      <w:pPr>
        <w:jc w:val="center"/>
      </w:pPr>
      <w:r>
        <w:drawing>
          <wp:inline distT="0" distB="0" distL="114300" distR="114300">
            <wp:extent cx="4320000" cy="3098233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1E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优化器训练日志如图 12 所示，两种优化器量化对比结果如表 3 所示。</w:t>
      </w:r>
    </w:p>
    <w:p w14:paraId="2617B767">
      <w:pPr>
        <w:spacing w:line="360" w:lineRule="auto" w:before="0" w:after="0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&lt;center&gt;图12 SGD优化器训练日志&lt;/center&gt;&lt;center&gt;表3 Adam与SGD优化器实验量化对比&lt;/center&gt;</w:t>
      </w:r>
    </w:p>
    <w:tbl>
      <w:tblPr>
        <w:tblW w:w="5000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946"/>
        <w:gridCol w:w="3329"/>
        <w:gridCol w:w="1997"/>
        <w:gridCol w:w="2155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由图 12 可见，SGD 初始损失为 2.3464，损失整体下降趋势平缓，下降速度慢于 Adam。结合表 3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相关操作或实验结果如图17所示。</w:t>
      </w:r>
    </w:p>
    <w:p w14:paraId="7BD99C13">
      <w:pPr>
        <w:jc w:val="center"/>
      </w:pPr>
      <w:r>
        <w:drawing>
          <wp:inline distT="0" distB="0" distL="114300" distR="114300">
            <wp:extent cx="4320000" cy="706136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53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相关操作或实验结果如图18所示。</w:t>
      </w:r>
    </w:p>
    <w:p w14:paraId="73A95C7C">
      <w:pPr>
        <w:jc w:val="center"/>
      </w:pPr>
      <w:r>
        <w:drawing>
          <wp:inline distT="0" distB="0" distL="114300" distR="114300">
            <wp:extent cx="4320000" cy="139576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C82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黑体"/>
          <w:b/>
          <w:sz w:val="4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相关操作或实验结果如图19所示。</w:t>
      </w:r>
    </w:p>
    <w:p w14:paraId="090C35A4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136083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F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相关操作或实验结果如图20所示。</w:t>
      </w:r>
    </w:p>
    <w:p w14:paraId="6D05636F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142624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06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图20  从检查点恢复训练的运行结果</w:t>
      </w:r>
    </w:p>
    <w:p w14:paraId="6C18C7D6">
      <w:pPr>
        <w:spacing w:line="360" w:lineRule="auto" w:before="0" w:after="0"/>
        <w:ind w:firstLine="480"/>
      </w:pPr>
      <w:r>
        <w:rPr>
          <w:rFonts w:ascii="Times New Roman" w:hAnsi="Times New Roman" w:eastAsia="宋体" w:cs="宋体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sz w:val="24"/>
          <w:szCs w:val="24"/>
        </w:rPr>
        <w:t>model_state_dict</w:t>
      </w:r>
      <w:r>
        <w:rPr>
          <w:rFonts w:ascii="Times New Roman" w:hAnsi="Times New Roman" w:eastAsia="宋体" w:cs="宋体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sz w:val="24"/>
          <w:szCs w:val="24"/>
        </w:rPr>
        <w:t>model_state_dict</w:t>
      </w:r>
      <w:r>
        <w:rPr>
          <w:rFonts w:ascii="Times New Roman" w:hAnsi="Times New Roman" w:eastAsia="宋体" w:cs="宋体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sz w:val="24"/>
          <w:szCs w:val="24"/>
        </w:rPr>
        <w:t>存储优化器内部状态，epoch 记录当前训练轮次，保证恢复训练时模型、优化器状态与训练进度完整承接。 由图 20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相关操作或实验结果如图21所示。</w:t>
      </w:r>
    </w:p>
    <w:p w14:paraId="17BB485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2878518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E49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相关操作或实验结果如图22所示。</w:t>
      </w:r>
    </w:p>
    <w:p w14:paraId="20155732">
      <w:pPr>
        <w:jc w:val="center"/>
      </w:pPr>
      <w:r>
        <w:drawing>
          <wp:inline distT="0" distB="0" distL="114300" distR="114300">
            <wp:extent cx="4320000" cy="247591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28D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/>
          <w:b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320000" cy="2764851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FC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相关操作或实验结果如图24所示。</w:t>
      </w:r>
    </w:p>
    <w:p w14:paraId="3F9FD5D8">
      <w:pPr>
        <w:jc w:val="center"/>
      </w:pPr>
      <w:r>
        <w:drawing>
          <wp:inline distT="0" distB="0" distL="114300" distR="114300">
            <wp:extent cx="4320000" cy="269944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0C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相关操作或实验结果如图25所示。</w:t>
      </w:r>
    </w:p>
    <w:p w14:paraId="3CCEE3F8">
      <w:pPr>
        <w:jc w:val="center"/>
      </w:pPr>
      <w:r>
        <w:drawing>
          <wp:inline distT="0" distB="0" distL="114300" distR="114300">
            <wp:extent cx="4320000" cy="2698809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79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相关操作或实验结果如图26所示。</w:t>
      </w:r>
    </w:p>
    <w:p w14:paraId="3E75EDCF">
      <w:pPr>
        <w:jc w:val="center"/>
      </w:pPr>
      <w:r>
        <w:drawing>
          <wp:inline distT="0" distB="0" distL="114300" distR="114300">
            <wp:extent cx="4320000" cy="2357172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290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相关操作或实验结果如图27所示。</w:t>
      </w:r>
    </w:p>
    <w:p w14:paraId="4F9A5442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2603557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DD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相关操作或实验结果如图28所示。</w:t>
      </w:r>
    </w:p>
    <w:p w14:paraId="65AC3084">
      <w:pPr>
        <w:jc w:val="center"/>
      </w:pPr>
      <w:r>
        <w:drawing>
          <wp:inline distT="0" distB="0" distL="114300" distR="114300">
            <wp:extent cx="4320000" cy="253688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4C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6.1  运行结果</w:t>
      </w:r>
    </w:p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相关操作或实验结果如图29所示。</w:t>
      </w:r>
    </w:p>
    <w:p w14:paraId="604518E0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889655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A8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图29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相关操作或实验结果如图30所示。</w:t>
      </w:r>
    </w:p>
    <w:p w14:paraId="443251A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859174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D7B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图30  猫狗识别程序运行结果</w:t>
      </w:r>
    </w:p>
    <w:p w14:paraId="48A000BB"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【待补充】请在此处补充猫狗分类的训练集/测试集准确率、最终损失和训练轮数；建议再加入混淆矩阵或2—4个预测样例，并分析至少一种误分类原因。当前只有路径问题和运行截图，结果分析不足。</w:t>
      </w:r>
    </w:p>
    <w:p w14:paraId="420591EB">
      <w:pPr>
        <w:pStyle w:val="2"/>
        <w:numPr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相关操作或实验结果如图31所示。</w:t>
      </w:r>
    </w:p>
    <w:p w14:paraId="7EC60258">
      <w:pPr>
        <w:jc w:val="center"/>
      </w:pPr>
      <w:r>
        <w:drawing>
          <wp:inline distT="0" distB="0" distL="114300" distR="114300">
            <wp:extent cx="4320000" cy="206760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7A5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图31  VGG16 迁移学习训练过程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相关操作或实验结果如图32所示。</w:t>
      </w:r>
    </w:p>
    <w:p w14:paraId="4DC2E09C">
      <w:pPr>
        <w:jc w:val="center"/>
      </w:pPr>
      <w:r>
        <w:drawing>
          <wp:inline distT="0" distB="0" distL="114300" distR="114300">
            <wp:extent cx="4320000" cy="471942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1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D12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图32  VGG16 迁移学习损失曲线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相关操作或实验结果如图33所示。</w:t>
      </w:r>
    </w:p>
    <w:p w14:paraId="73E8B7BC">
      <w:pPr>
        <w:jc w:val="center"/>
      </w:pPr>
      <w:r>
        <w:drawing>
          <wp:inline distT="0" distB="0" distL="114300" distR="114300">
            <wp:extent cx="4320000" cy="3669746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6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D09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图33  VGG16 猫狗识别结果</w:t>
      </w:r>
    </w:p>
    <w:p w14:paraId="419A811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黑体"/>
          <w:b/>
          <w:sz w:val="30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本次 VGG16 迁移学习训练3轮，最终训练平均损失为0.0401，测试准确率为99.01%。VGG16利用ImageNet预训练权重，较少轮次即可达到较高精度；与第6章从零训练CNN的量化比较仍需使用相同数据划分，并同时报告参数量、训练时间、最终损失和测试准确率。</w:t>
      </w:r>
    </w:p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【待补充】请把第6章普通CNN的训练轮数、参数量、训练时间、最终损失和测试准确率补在这里；必须与VGG16采用同一训练集/测试集划分，才能形成课程要求中的有效对比。</w:t>
      </w:r>
    </w:p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相关操作或实验结果如图34所示。</w:t>
      </w:r>
    </w:p>
    <w:p w14:paraId="60CD9137">
      <w:pPr>
        <w:jc w:val="center"/>
      </w:pPr>
      <w:r>
        <w:drawing>
          <wp:inline distT="0" distB="0" distL="114300" distR="114300">
            <wp:extent cx="4320000" cy="323984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59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图34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相关操作或实验结果如图35所示。</w:t>
      </w:r>
    </w:p>
    <w:p w14:paraId="634B1584">
      <w:pPr>
        <w:jc w:val="center"/>
      </w:pPr>
      <w:r>
        <w:drawing>
          <wp:inline distT="0" distB="0" distL="114300" distR="114300">
            <wp:extent cx="4320000" cy="323984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D6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图35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相关操作或实验结果如图36所示。</w:t>
      </w:r>
    </w:p>
    <w:p w14:paraId="536051E1">
      <w:pPr>
        <w:jc w:val="center"/>
      </w:pPr>
      <w:r>
        <w:drawing>
          <wp:inline distT="0" distB="0" distL="114300" distR="114300">
            <wp:extent cx="4320000" cy="323984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360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图36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相关操作或实验结果如图37所示。</w:t>
      </w:r>
    </w:p>
    <w:p w14:paraId="38A985F5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C8C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图37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相关操作或实验结果如图38所示。</w:t>
      </w:r>
    </w:p>
    <w:p w14:paraId="2401E1AA">
      <w:pPr>
        <w:jc w:val="center"/>
      </w:pPr>
      <w:r>
        <w:drawing>
          <wp:inline distT="0" distB="0" distL="114300" distR="114300">
            <wp:extent cx="4320000" cy="323984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C7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图38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相关操作或实验结果如图39所示。</w:t>
      </w:r>
    </w:p>
    <w:p w14:paraId="5F85473D">
      <w:pPr>
        <w:jc w:val="center"/>
      </w:pPr>
      <w:r>
        <w:drawing>
          <wp:inline distT="0" distB="0" distL="114300" distR="114300">
            <wp:extent cx="4320000" cy="323984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AA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图39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相关操作或实验结果如图40所示。</w:t>
      </w:r>
    </w:p>
    <w:p w14:paraId="273841DE">
      <w:pPr>
        <w:jc w:val="center"/>
      </w:pPr>
      <w:r>
        <w:drawing>
          <wp:inline distT="0" distB="0" distL="114300" distR="114300">
            <wp:extent cx="4320000" cy="323984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9F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图40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相关操作或实验结果如图41所示。</w:t>
      </w:r>
    </w:p>
    <w:p w14:paraId="36219094">
      <w:pPr>
        <w:tabs>
          <w:tab w:val="left" w:pos="3167"/>
        </w:tabs>
        <w:bidi w:val="0"/>
        <w:jc w:val="center"/>
      </w:pPr>
      <w:bookmarkStart w:id="0" w:name="_GoBack"/>
      <w:r>
        <w:drawing>
          <wp:inline distT="0" distB="0" distL="114300" distR="114300">
            <wp:extent cx="4320000" cy="323984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EAF4C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图41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相关操作或实验结果如图42所示。</w:t>
      </w:r>
    </w:p>
    <w:p w14:paraId="7F630716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FD0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图42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30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相关操作或实验结果如图43所示。</w:t>
      </w:r>
    </w:p>
    <w:p w14:paraId="5123D05F">
      <w:pPr>
        <w:jc w:val="center"/>
      </w:pPr>
      <w:r>
        <w:drawing>
          <wp:inline distT="0" distB="0" distL="0" distR="0">
            <wp:extent cx="4320000" cy="323984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1A1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图43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相关操作或实验结果如图44所示。</w:t>
      </w:r>
    </w:p>
    <w:p w14:paraId="66D84BB1">
      <w:pPr>
        <w:jc w:val="center"/>
      </w:pPr>
      <w:r>
        <w:drawing>
          <wp:inline distT="0" distB="0" distL="114300" distR="114300">
            <wp:extent cx="4320000" cy="2129860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094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图44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相关操作或实验结果如图45所示。</w:t>
      </w:r>
    </w:p>
    <w:p w14:paraId="64DC3D04">
      <w:pPr>
        <w:jc w:val="center"/>
      </w:pPr>
      <w:r>
        <w:drawing>
          <wp:inline distT="0" distB="0" distL="114300" distR="114300">
            <wp:extent cx="4320000" cy="2798507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AA1C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图45  加入滞后与统计特征后的预测结果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相关操作或实验结果如图46所示。</w:t>
      </w:r>
    </w:p>
    <w:p w14:paraId="070F91B2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1989128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图46  加入滞后与统计特征后的测试指标</w:t>
      </w:r>
    </w:p>
    <w:p w14:paraId="7F72B7A0">
      <w:pPr>
        <w:spacing w:line="360" w:lineRule="auto" w:before="0" w:after="0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基线模型未引入历史负荷特征，仅采用月份、星期、季节、是否周末日历特征，由图44 可得测试集指标：RMSE=1.0341，MAE=0.9522。在保持实验条件一致的前提下，引入滞后负荷、滑动均值、负荷差值等时序特征后，由图45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相关操作或实验结果如图47所示。</w:t>
      </w:r>
    </w:p>
    <w:p w14:paraId="28897BD2">
      <w:pPr>
        <w:jc w:val="center"/>
      </w:pPr>
      <w:r>
        <w:drawing>
          <wp:inline distT="0" distB="0" distL="114300" distR="114300">
            <wp:extent cx="4320000" cy="840758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A3E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图47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相关操作或实验结果如图48所示。</w:t>
      </w:r>
    </w:p>
    <w:p w14:paraId="1AB44958">
      <w:pPr>
        <w:jc w:val="center"/>
      </w:pPr>
      <w:r>
        <w:drawing>
          <wp:inline distT="0" distB="0" distL="114300" distR="114300">
            <wp:extent cx="4320000" cy="1539274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04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图48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相关操作或实验结果如图49所示。</w:t>
      </w:r>
    </w:p>
    <w:p w14:paraId="27E0EB4F">
      <w:pPr>
        <w:jc w:val="center"/>
      </w:pPr>
      <w:r>
        <w:drawing>
          <wp:inline distT="0" distB="0" distL="114300" distR="114300">
            <wp:extent cx="4320000" cy="850284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06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图49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相关操作或实验结果如图50所示。</w:t>
      </w:r>
    </w:p>
    <w:p w14:paraId="3CD102B3">
      <w:pPr>
        <w:jc w:val="center"/>
      </w:pPr>
      <w:r>
        <w:drawing>
          <wp:inline distT="0" distB="0" distL="114300" distR="114300">
            <wp:extent cx="4320000" cy="3222061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FA9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图50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相关操作或实验结果如图51所示。</w:t>
      </w:r>
    </w:p>
    <w:p w14:paraId="218A8A67">
      <w:pPr>
        <w:jc w:val="center"/>
      </w:pPr>
      <w:r>
        <w:drawing>
          <wp:inline distT="0" distB="0" distL="114300" distR="114300">
            <wp:extent cx="4320000" cy="1169696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0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图51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相关操作或实验结果如图52所示。</w:t>
      </w:r>
    </w:p>
    <w:p w14:paraId="1EDE2672">
      <w:pPr>
        <w:jc w:val="center"/>
      </w:pPr>
      <w:r>
        <w:drawing>
          <wp:inline distT="0" distB="0" distL="114300" distR="114300">
            <wp:extent cx="4320000" cy="1268758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717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图52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相关操作或实验结果如图53所示。</w:t>
      </w:r>
    </w:p>
    <w:p w14:paraId="5A46B80C">
      <w:pPr>
        <w:jc w:val="center"/>
      </w:pPr>
      <w:r>
        <w:drawing>
          <wp:inline distT="0" distB="0" distL="114300" distR="114300">
            <wp:extent cx="4320000" cy="215968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F6B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图53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相关操作或实验结果如图54所示。</w:t>
      </w:r>
    </w:p>
    <w:p w14:paraId="4F1F9117">
      <w:pPr>
        <w:jc w:val="center"/>
      </w:pPr>
      <w:r>
        <w:drawing>
          <wp:inline distT="0" distB="0" distL="114300" distR="114300">
            <wp:extent cx="4320000" cy="1799630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61AD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图54  TabNet 真实值与预测值对比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相关操作或实验结果如图55所示。</w:t>
      </w:r>
    </w:p>
    <w:p w14:paraId="3E79B4F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2592000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图55  TabNet 参数量及特征重要性数值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相关操作或实验结果如图56所示。</w:t>
      </w:r>
    </w:p>
    <w:p w14:paraId="5BDC3E2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2403338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图56  TabNet 测试指标与特征重要性输出</w:t>
      </w:r>
    </w:p>
    <w:p w14:paraId="758B2580">
      <w:pPr>
        <w:spacing w:line="360" w:lineRule="auto" w:before="0" w:after="0"/>
        <w:ind w:firstLine="480"/>
      </w:pPr>
      <w:r>
        <w:rPr>
          <w:rFonts w:ascii="Times New Roman" w:hAnsi="Times New Roman" w:eastAsia="宋体" w:cs="宋体"/>
          <w:sz w:val="24"/>
          <w:szCs w:val="24"/>
        </w:rPr>
        <w:t>本实验按时间顺序划分数据集，前 80% 为训练集、后 20% 为测试集，规避时序数据泄露。MLP 消融实验表明，引入滞后、滑动统计时序特征后，标准化尺度下 RMSE 由 1.0341 降至 1.0194，MAE 由 0.9522 降至 0.9363，预测效果提升。在相同标准化评价尺度下，TabNet 采用全套特征得到 RMSE=0.2750，MAE=0.1947，性能优于 MLP。TabNet 特征重要性显示 Lag_1 贡献最大，时序类特征整体重要性高于日历特征；由预测曲线可以看出，模型能够捕捉负荷周期变化，但负荷突变尖峰处偏差明显。这说明人工时序特征可以挖掘负荷时序依赖规律，TabNet 拟合能力更强，不过两类模型都难以精准预测短时突变尖峰。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相关操作或实验结果如图57所示。</w:t>
      </w:r>
    </w:p>
    <w:p w14:paraId="2868FD7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460945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61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图57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相关操作或实验结果如图58所示。</w:t>
      </w:r>
    </w:p>
    <w:p w14:paraId="51FE84D1">
      <w:pPr>
        <w:jc w:val="center"/>
      </w:pPr>
      <w:r>
        <w:drawing>
          <wp:inline distT="0" distB="0" distL="114300" distR="114300">
            <wp:extent cx="4320000" cy="1799630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8B8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图58  FT-Transformer 真实值与预测值对比</w:t>
      </w:r>
    </w:p>
    <w:tbl>
      <w:tblPr>
        <w:tblW w:w="4165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1249"/>
        <w:gridCol w:w="1562"/>
        <w:gridCol w:w="1245"/>
        <w:gridCol w:w="1246"/>
      </w:tblGrid>
      <w:tr w14:paraId="5E46AB15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7BD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09F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8E6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25D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MAE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5E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RMSE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C35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2C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12783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08B01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FC6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0.9363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D79B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1.0194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AC9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7FE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E16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DBD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0.1947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BCDF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0.2750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F227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A99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598401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3AAF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52ED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0.6730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582F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4"/>
                <w:bdr w:val="none" w:color="auto" w:sz="0" w:space="0"/>
                <w:lang w:val="en-US" w:eastAsia="zh-CN" w:bidi="ar"/>
              </w:rPr>
              <w:t>0.9450</w:t>
            </w:r>
          </w:p>
        </w:tc>
      </w:tr>
    </w:tbl>
    <w:p>
      <w:pPr>
        <w:spacing w:line="300" w:lineRule="auto" w:before="80" w:after="120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/核对】三模型对比表还需要增加“训练时间”和“R²”两列；并确认MLP、TabNet、FT-Transformer使用同一测试集、同一目标变量归一化方式和同一反归一化口径。当前指标数量级差异较大，若尺度不一致，不能直接得出TabNet优于其他模型的结论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本次 FT-Transformer 的预测曲线能够跟随电力负荷的整体趋势和周期变化，但对突发尖峰与骤降的拟合较弱。可能原因包括样本量有限、极端样本占比较低，以及平方误差目标使模型倾向于平滑预测。与 MLP、TabNet 的比较应基于相同数据划分、预处理、随机种子和评价指标；本次结果只能说明各模型在当前实验设置下的差异，不能据此断言某类模型普遍更优。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黑体"/>
          <w:b/>
          <w:sz w:val="4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line="240" w:lineRule="auto" w:before="240" w:after="240"/>
      </w:pPr>
      <w:r>
        <w:rPr>
          <w:rFonts w:ascii="Times New Roman" w:hAnsi="Times New Roman" w:eastAsia="黑体"/>
          <w:b/>
          <w:sz w:val="4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所有对照实验写出了实际准确率、损失或误差指标，而不是只写理论趋势。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猫狗CNN与VGG16使用同一数据划分，并给出训练时间、损失和准确率。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MLP、TabNet、FT-Transformer给出了参数量和统一测试集上的量化指标。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时间序列数据按时间先后划分，归一化参数仅由训练集拟合，未发生数据泄漏。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所有黄色“【待补充】”内容均已填写并删除提示文字。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numbering" Target="numbering.xml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181</Words>
  <Characters>313</Characters>
  <Lines>3</Lines>
  <Paragraphs>1</Paragraphs>
  <TotalTime>120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2026-10-26T04:25:25Z</dcterms:modified>
  <dc:subject>课程实验结果、问题分析与模型比较</dc:subject>
  <dc:title>《深度学习案例与实践》结课报告（格式修订标注版）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