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line="240" w:lineRule="auto" w:before="0" w:after="0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黑体" w:cs="Times New Roman"/>
          <w:b/>
          <w:sz w:val="72"/>
        </w:rPr>
        <w:t>《深度学习案例与实践》</w:t>
      </w:r>
    </w:p>
    <w:p w14:paraId="230EE91B">
      <w:pPr>
        <w:spacing w:line="240" w:lineRule="auto" w:before="0" w:after="0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黑体" w:cs="Times New Roman"/>
          <w:b/>
          <w:sz w:val="4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4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【请填写学院】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【请填写专业】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【请填写学号】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line="240" w:lineRule="auto" w:before="0" w:after="0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【请填写姓名】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bookmarkEnd w:id="1"/>
    <w:bookmarkEnd w:id="2"/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4"/>
        <w:tblW w:w="0" w:type="auto"/>
        <w:jc w:val="center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2831" w:type="dxa"/>
            <w:vAlign w:val="center"/>
          </w:tcPr>
          <w:p w14:paraId="0DA6F61C">
            <w:pPr>
              <w:spacing w:line="240" w:lineRule="auto" w:before="0" w:after="0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line="240" w:lineRule="auto" w:before="0" w:after="0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line="240" w:lineRule="auto" w:before="0" w:after="0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line="240" w:lineRule="auto" w:before="240" w:after="24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44"/>
        </w:rPr>
        <w:t>1  Anaconda 下载与环境配置</w:t>
      </w:r>
    </w:p>
    <w:p w14:paraId="07A0EBB3">
      <w:pPr>
        <w:pStyle w:val="3"/>
        <w:spacing w:line="240" w:lineRule="auto" w:before="120" w:after="1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1.1  下载页面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相关操作或实验结果如图1所示。</w:t>
      </w:r>
    </w:p>
    <w:p w14:paraId="231E63A7">
      <w:pPr>
        <w:jc w:val="center"/>
      </w:pPr>
      <w:r>
        <w:drawing>
          <wp:inline distT="0" distB="0" distL="114300" distR="114300">
            <wp:extent cx="4320000" cy="2086577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  Anaconda 官方下载页面</w:t>
      </w:r>
    </w:p>
    <w:p w14:paraId="7079FCF6">
      <w:pPr>
        <w:pStyle w:val="12"/>
        <w:keepNext w:val="0"/>
        <w:keepLines w:val="0"/>
        <w:widowControl/>
        <w:suppressLineNumbers w:val="0"/>
        <w:spacing w:line="360" w:lineRule="auto" w:before="0" w:after="0"/>
        <w:ind w:right="720"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sz w:val="24"/>
          <w:szCs w:val="24"/>
        </w:rPr>
        <w:t>不要点绿色</w:t>
      </w:r>
      <w:r>
        <w:rPr>
          <w:rStyle w:val="20"/>
          <w:rFonts w:hint="eastAsia" w:ascii="Times New Roman" w:hAnsi="Times New Roman" w:eastAsia="宋体" w:cs="宋体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sz w:val="24"/>
          <w:szCs w:val="24"/>
        </w:rPr>
        <w:t>，那个会要求注册账号。直接用</w:t>
      </w:r>
      <w:r>
        <w:rPr>
          <w:rStyle w:val="17"/>
          <w:rFonts w:hint="eastAsia" w:ascii="Times New Roman" w:hAnsi="Times New Roman" w:eastAsia="宋体" w:cs="宋体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sz w:val="24"/>
          <w:szCs w:val="24"/>
        </w:rPr>
        <w:t>，绕开登录即可下载安装包。</w:t>
      </w:r>
    </w:p>
    <w:p w14:paraId="7DB6569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3.官网下载慢，用清华的镜像网站</w:t>
      </w:r>
    </w:p>
    <w:p w14:paraId="31F42B9B">
      <w:pPr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19"/>
          <w:rFonts w:ascii="Times New Roman" w:hAnsi="Times New Roman" w:eastAsia="宋体" w:cs="宋体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Windows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x86_64.exe 下载。</w:t>
      </w:r>
    </w:p>
    <w:p w14:paraId="5A933CC6">
      <w:pPr>
        <w:spacing w:line="360" w:lineRule="auto" w:before="0" w:after="0"/>
        <w:ind w:firstLine="480"/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4.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相关操作或实验结果如图2所示。</w:t>
      </w:r>
    </w:p>
    <w:p>
      <w:pPr>
        <w:jc w:val="center"/>
      </w:pPr>
      <w:r>
        <w:drawing>
          <wp:inline distT="0" distB="0" distL="114300" distR="114300">
            <wp:extent cx="4320000" cy="1816771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1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  Anaconda 发行版选择页面</w:t>
      </w:r>
    </w:p>
    <w:p w14:paraId="4A0E0269">
      <w:pPr>
        <w:spacing w:line="360" w:lineRule="auto" w:before="0" w:after="0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这个</w:t>
      </w:r>
    </w:p>
    <w:p w14:paraId="081DD1BE">
      <w:pPr>
        <w:spacing w:line="360" w:lineRule="auto" w:before="0" w:after="0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5.检验是否安装</w:t>
      </w:r>
    </w:p>
    <w:p w14:paraId="147A5078">
      <w:pPr>
        <w:spacing w:line="360" w:lineRule="auto" w:before="0" w:after="0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输入win+R，控制面板内输入conda出现下图所示，说明安装成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相关操作或实验结果如图3所示。</w:t>
      </w:r>
    </w:p>
    <w:p w14:paraId="00318F5A">
      <w:pPr>
        <w:jc w:val="center"/>
      </w:pPr>
      <w:r>
        <w:drawing>
          <wp:inline distT="0" distB="0" distL="114300" distR="114300">
            <wp:extent cx="4320000" cy="2255764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  Conda 命令检验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相关操作或实验结果如图4所示。</w:t>
      </w:r>
    </w:p>
    <w:p>
      <w:pPr>
        <w:jc w:val="center"/>
      </w:pPr>
      <w:r>
        <w:drawing>
          <wp:inline distT="0" distB="0" distL="114300" distR="114300">
            <wp:extent cx="4320000" cy="2239869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2  CPU 版 PyTorch 安装与张量测试</w:t>
      </w:r>
    </w:p>
    <w:p w14:paraId="56B3E40F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sz w:val="24"/>
          <w:lang w:val="en-US" w:eastAsia="zh-CN"/>
        </w:rPr>
        <w:t>打开Anaconda Prompt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相关操作或实验结果如图5所示。</w:t>
      </w:r>
    </w:p>
    <w:p w14:paraId="73050A7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729863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2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sz w:val="24"/>
          <w:lang w:val="en-US" w:eastAsia="zh-CN"/>
        </w:rPr>
        <w:t>输入指令conda create -n pytorch Python=3.12.7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相关操作或实验结果如图6所示。</w:t>
      </w:r>
    </w:p>
    <w:p w14:paraId="628E0DE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1852968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5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sz w:val="24"/>
          <w:lang w:val="en-US" w:eastAsia="zh-CN"/>
        </w:rPr>
        <w:t>激活虚拟环境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相关操作或实验结果如图7所示。</w:t>
      </w:r>
    </w:p>
    <w:p w14:paraId="4BE664E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817514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line="360" w:lineRule="auto" w:before="0" w:after="0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sz w:val="24"/>
          <w:lang w:val="en-US" w:eastAsia="zh-CN"/>
        </w:rPr>
        <w:t>在 pytorch环境下，安装 CPU 版 PyTorch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相关操作或实验结果如图8所示。</w:t>
      </w:r>
    </w:p>
    <w:p w14:paraId="3E22E8ED">
      <w:pPr>
        <w:numPr>
          <w:ilvl w:val="0"/>
          <w:numId w:val="0"/>
        </w:numPr>
        <w:ind/>
        <w:jc w:val="center"/>
      </w:pPr>
      <w:r>
        <w:drawing>
          <wp:inline distT="0" distB="0" distL="114300" distR="114300">
            <wp:extent cx="4320000" cy="2251117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line="360" w:lineRule="auto" w:before="0" w:after="0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打印一个张量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相关操作或实验结果如图9所示。</w:t>
      </w:r>
    </w:p>
    <w:p w14:paraId="3C5EA19C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20000" cy="2845565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3  全连接网络手写数字识别</w:t>
      </w:r>
    </w:p>
    <w:p w14:paraId="4A37764F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3.1  基线模型运行结果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相关操作或实验结果如图10所示。</w:t>
      </w:r>
    </w:p>
    <w:p w14:paraId="707B9635">
      <w:pPr>
        <w:numPr>
          <w:numId w:val="0"/>
        </w:numPr>
        <w:jc w:val="center"/>
      </w:pPr>
      <w:r>
        <w:drawing>
          <wp:inline distT="0" distB="0" distL="114300" distR="114300">
            <wp:extent cx="4320000" cy="2119567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19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图10  全连接网络基线训练过程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相关操作或实验结果如图11所示。</w:t>
      </w:r>
    </w:p>
    <w:p w14:paraId="4CF9D2D5">
      <w:pPr>
        <w:numPr>
          <w:numId w:val="0"/>
        </w:numPr>
        <w:jc w:val="center"/>
      </w:pPr>
      <w:r>
        <w:drawing>
          <wp:inline distT="0" distB="0" distL="114300" distR="114300">
            <wp:extent cx="4320000" cy="2644003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图11  全连接网络基线准确率曲线</w:t>
      </w:r>
    </w:p>
    <w:p w14:paraId="007D305F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3.2  隐藏层宽度调整</w:t>
      </w:r>
    </w:p>
    <w:p w14:paraId="7ECFE412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将隐藏层从128改为256，观察准确率变化</w:t>
      </w:r>
    </w:p>
    <w:p w14:paraId="1D37D5A4">
      <w:pPr>
        <w:pStyle w:val="12"/>
        <w:keepNext w:val="0"/>
        <w:keepLines w:val="0"/>
        <w:widowControl/>
        <w:suppressLineNumbers w:val="0"/>
        <w:spacing w:line="360" w:lineRule="auto" w:before="0" w:after="0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sz w:val="24"/>
        </w:rPr>
        <w:t>对比之前 128 神经元的准确率：</w:t>
      </w:r>
    </w:p>
    <w:p w14:paraId="748AFB17">
      <w:pPr>
        <w:pStyle w:val="12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相关操作或实验结果如图12所示。</w:t>
      </w:r>
    </w:p>
    <w:p w14:paraId="1C3619C7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20000" cy="494458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4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图12  隐藏层宽度调整代码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相关操作或实验结果如图13所示。</w:t>
      </w:r>
    </w:p>
    <w:p w14:paraId="6CBE3A1A">
      <w:pPr>
        <w:numPr>
          <w:numId w:val="0"/>
        </w:numPr>
        <w:jc w:val="center"/>
      </w:pPr>
      <w:r>
        <w:drawing>
          <wp:inline distT="0" distB="0" distL="114300" distR="114300">
            <wp:extent cx="4320000" cy="2554684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图13  隐藏层宽度调整后的训练结果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相关操作或实验结果如图14所示。</w:t>
      </w:r>
    </w:p>
    <w:p w14:paraId="5648FEFF">
      <w:pPr>
        <w:numPr>
          <w:numId w:val="0"/>
        </w:numPr>
        <w:jc w:val="center"/>
      </w:pPr>
      <w:r>
        <w:drawing>
          <wp:inline distT="0" distB="0" distL="114300" distR="114300">
            <wp:extent cx="4320000" cy="2715920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图14  隐藏层宽度调整后的准确率曲线</w:t>
      </w:r>
    </w:p>
    <w:p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【待补充】请在此处写出隐藏层为128和256时的最终训练准确率、测试准确率和最终损失；说明数据划分、训练轮数和随机种子是否一致。不要只写“通常会提高”。</w:t>
      </w:r>
    </w:p>
    <w:p w14:paraId="453A8A57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3.3  优化器对比</w:t>
      </w:r>
    </w:p>
    <w:p w14:paraId="60E488A8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将Adam替换成SGD观察收敛速度</w:t>
      </w:r>
    </w:p>
    <w:p w14:paraId="0E212DEA">
      <w:pPr>
        <w:numPr>
          <w:numId w:val="0"/>
        </w:num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相关操作或实验结果如图15所示。</w:t>
      </w:r>
    </w:p>
    <w:p>
      <w:pPr>
        <w:jc w:val="center"/>
      </w:pPr>
      <w:r>
        <w:drawing>
          <wp:inline distT="0" distB="0" distL="114300" distR="114300">
            <wp:extent cx="4320000" cy="2964309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图15  Adam 优化器训练结果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相关操作或实验结果如图16所示。</w:t>
      </w:r>
    </w:p>
    <w:p>
      <w:pPr>
        <w:jc w:val="center"/>
      </w:pPr>
      <w:r>
        <w:drawing>
          <wp:inline distT="0" distB="0" distL="114300" distR="114300">
            <wp:extent cx="4320000" cy="3098545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图16  SGD 优化器训练结果</w:t>
      </w:r>
    </w:p>
    <w:p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【待补充】请在此处增加 Adam 与 SGD 的量化对比：学习率、达到相同准确率所需的 epoch、最终测试准确率及训练时间。若两者学习率不同，应明确写出。</w:t>
      </w:r>
    </w:p>
    <w:p w14:paraId="2FC2CC00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3.4  问题分析与解决方案</w:t>
      </w:r>
    </w:p>
    <w:p w14:paraId="2EB065BD">
      <w:pPr>
        <w:pStyle w:val="Heading3"/>
        <w:numPr>
          <w:numId w:val="0"/>
        </w:numPr>
        <w:spacing w:line="360" w:lineRule="auto" w:before="60" w:after="6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3.4.1  缺少绘图库</w:t>
      </w:r>
    </w:p>
    <w:p w14:paraId="1104329E">
      <w:pPr>
        <w:numPr>
          <w:numId w:val="0"/>
        </w:numPr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当前 PyTorch Conda 环境缺少 matplotlib 库，绘图语句因而无法执行。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相关操作或实验结果如图17所示。</w:t>
      </w:r>
    </w:p>
    <w:p>
      <w:pPr>
        <w:jc w:val="center"/>
      </w:pPr>
      <w:r>
        <w:drawing>
          <wp:inline distT="0" distB="0" distL="114300" distR="114300">
            <wp:extent cx="4320000" cy="706351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0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图17  缺少绘图库时的报错信息</w:t>
      </w:r>
    </w:p>
    <w:p w14:paraId="60BAD553">
      <w:pPr>
        <w:numPr>
          <w:numId w:val="0"/>
        </w:numPr>
        <w:spacing w:line="360" w:lineRule="auto" w:before="0" w:after="0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3C1B31D7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打开 Anaconda Prompt：</w:t>
      </w:r>
    </w:p>
    <w:p w14:paraId="53E56FA4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Style w:val="20"/>
          <w:rFonts w:hint="default" w:ascii="Consolas" w:hAnsi="Consolas" w:eastAsia="Consolas" w:cs="Consolas"/>
        </w:rPr>
      </w:pPr>
      <w:r>
        <w:rPr>
          <w:rStyle w:val="20"/>
          <w:rFonts w:hint="default" w:ascii="Times New Roman" w:hAnsi="Times New Roman" w:eastAsia="宋体" w:cs="Consolas"/>
          <w:sz w:val="24"/>
        </w:rPr>
        <w:t>conda activate pytorch</w:t>
      </w:r>
    </w:p>
    <w:p w14:paraId="01F66644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Style w:val="20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sz w:val="24"/>
        </w:rPr>
        <w:t>pip install matplotlib -i https://pypi.tuna.tsinghua.edu.cn/simple</w:t>
      </w:r>
    </w:p>
    <w:p w14:paraId="7BD4B2C9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激活正确环境后安装 matplotlib，即可恢复绘图功能。</w:t>
      </w:r>
    </w:p>
    <w:p w14:paraId="6283C270">
      <w:pPr>
        <w:pStyle w:val="Heading3"/>
        <w:keepNext w:val="0"/>
        <w:keepLines w:val="0"/>
        <w:widowControl/>
        <w:suppressLineNumbers w:val="0"/>
        <w:spacing w:line="360" w:lineRule="auto" w:before="60" w:after="6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3.4.2  数据保存路径错误</w:t>
      </w:r>
    </w:p>
    <w:p w14:paraId="3E52B284">
      <w:p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代码中写死了其他用户的目录 C:\Users\think，当前账户无法在该路径创建文件，因此出现路径不存在或权限被拒绝的错误。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相关操作或实验结果如图18所示。</w:t>
      </w:r>
    </w:p>
    <w:p>
      <w:pPr>
        <w:jc w:val="center"/>
      </w:pPr>
      <w:r>
        <w:drawing>
          <wp:inline distT="0" distB="0" distL="114300" distR="114300">
            <wp:extent cx="4320000" cy="1395740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9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图18  数据路径不匹配导致的报错信息</w:t>
      </w:r>
    </w:p>
    <w:p w14:paraId="06193231">
      <w:pPr>
        <w:bidi w:val="0"/>
        <w:spacing w:line="360" w:lineRule="auto" w:before="0" w:after="0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77672D44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将路径改成</w:t>
      </w:r>
      <w:r>
        <w:rPr>
          <w:rStyle w:val="20"/>
          <w:rFonts w:hint="default" w:ascii="Times New Roman" w:hAnsi="Times New Roman" w:eastAsia="宋体" w:cs="Consolas"/>
          <w:sz w:val="24"/>
        </w:rPr>
        <w:t>local_data_path = r"C:\Users\付镇远\PycharmProjects\PythonProject\DL_data"</w:t>
      </w:r>
    </w:p>
    <w:p w14:paraId="5E9EAC52">
      <w:pPr>
        <w:bidi w:val="0"/>
        <w:spacing w:line="360" w:lineRule="auto" w:before="0" w:after="0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黑体"/>
          <w:b/>
          <w:sz w:val="44"/>
        </w:rPr>
        <w:t>4  检查点保存与继续训练</w:t>
      </w:r>
    </w:p>
    <w:p w14:paraId="7BF8AFE1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4.1  连续训练的基线结果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相关操作或实验结果如图19所示。</w:t>
      </w:r>
    </w:p>
    <w:p w14:paraId="090C35A4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1361096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6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图19  连续训练的基线结果</w:t>
      </w:r>
    </w:p>
    <w:p w14:paraId="08D14361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4.2  从检查点恢复训练的结果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相关操作或实验结果如图20所示。</w:t>
      </w:r>
    </w:p>
    <w:p w14:paraId="6D05636F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1426825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2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图20  从检查点恢复训练的运行结果</w:t>
      </w:r>
    </w:p>
    <w:p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【待补充】请在此处说明 checkpoint 中是否同时保存 model_state_dict、optimizer_state_dict 和 epoch，并列出第5轮保存时及恢复后第6轮的 loss，证明训练是连续恢复而不是重新开始。</w:t>
      </w:r>
    </w:p>
    <w:p w14:paraId="23BEC59A">
      <w:pPr>
        <w:pStyle w:val="2"/>
        <w:numPr>
          <w:ilvl w:val="0"/>
          <w:numId w:val="3"/>
        </w:numPr>
        <w:tabs>
          <w:tab w:val="clear" w:pos="312"/>
        </w:tabs>
        <w:bidi w:val="0"/>
        <w:spacing w:line="240" w:lineRule="auto" w:before="240" w:after="240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5  CNN 手写数字识别</w:t>
      </w:r>
    </w:p>
    <w:p w14:paraId="77CB24A2">
      <w:pPr>
        <w:pStyle w:val="3"/>
        <w:spacing w:line="240" w:lineRule="auto" w:before="120" w:after="12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5.1  CNN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相关操作或实验结果如图21所示。</w:t>
      </w:r>
    </w:p>
    <w:p w14:paraId="17BB4857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2878765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图21  CNN 手写数字识别训练结果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相关操作或实验结果如图22所示。</w:t>
      </w:r>
    </w:p>
    <w:p>
      <w:pPr>
        <w:jc w:val="center"/>
      </w:pPr>
      <w:r>
        <w:drawing>
          <wp:inline distT="0" distB="0" distL="114300" distR="114300">
            <wp:extent cx="4320000" cy="2475910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图22  CNN 手写数字识别准确率曲线</w:t>
      </w:r>
    </w:p>
    <w:p w14:paraId="547E2503">
      <w:pPr>
        <w:pStyle w:val="3"/>
        <w:numPr>
          <w:numId w:val="0"/>
        </w:numPr>
        <w:bidi w:val="0"/>
        <w:spacing w:line="240" w:lineRule="auto" w:before="120" w:after="120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5.2  课堂练习分析</w:t>
      </w:r>
    </w:p>
    <w:p w14:paraId="4C44AF10">
      <w:pPr>
        <w:pStyle w:val="Heading3"/>
        <w:numPr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5.2.1  哪些语句实现图像张量化？</w:t>
      </w:r>
    </w:p>
    <w:p w14:paraId="22A5DFA9">
      <w:pPr>
        <w:numPr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0"/>
          <w:rFonts w:ascii="Times New Roman" w:hAnsi="Times New Roman" w:eastAsia="宋体" w:cs="宋体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Heading3"/>
        <w:numPr>
          <w:ilvl w:val="0"/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/>
          <w:b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相关操作或实验结果如图23所示。</w:t>
      </w:r>
    </w:p>
    <w:p w14:paraId="6D5B07FC">
      <w:pPr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320000" cy="2765411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图23  卷积核数量调整后的训练结果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相关操作或实验结果如图24所示。</w:t>
      </w:r>
    </w:p>
    <w:p>
      <w:pPr>
        <w:jc w:val="center"/>
      </w:pPr>
      <w:r>
        <w:drawing>
          <wp:inline distT="0" distB="0" distL="114300" distR="114300">
            <wp:extent cx="4320000" cy="2700000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图24  卷积核数量调整后的准确率曲线</w:t>
      </w:r>
    </w:p>
    <w:p w14:paraId="44E161E4">
      <w:pPr>
        <w:pStyle w:val="Heading3"/>
        <w:numPr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5.2.3  移除 Dropout 的影响</w:t>
      </w:r>
    </w:p>
    <w:p w14:paraId="5875C232">
      <w:pPr>
        <w:numPr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10AF606C">
      <w:pPr>
        <w:pStyle w:val="Heading3"/>
        <w:numPr>
          <w:numId w:val="0"/>
        </w:numPr>
        <w:bidi w:val="0"/>
        <w:spacing w:line="360" w:lineRule="auto" w:before="60"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5.2.4  增加第三个卷积层的影响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相关操作或实验结果如图25所示。</w:t>
      </w:r>
    </w:p>
    <w:p>
      <w:pPr>
        <w:jc w:val="center"/>
      </w:pPr>
      <w:r>
        <w:drawing>
          <wp:inline distT="0" distB="0" distL="114300" distR="114300">
            <wp:extent cx="4320000" cy="2699064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图25  移除 Dropout 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相关操作或实验结果如图26所示。</w:t>
      </w:r>
    </w:p>
    <w:p>
      <w:pPr>
        <w:jc w:val="center"/>
      </w:pPr>
      <w:r>
        <w:drawing>
          <wp:inline distT="0" distB="0" distL="114300" distR="114300">
            <wp:extent cx="4320000" cy="2357452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图26  移除 Dropout 后的准确率曲线</w:t>
      </w:r>
    </w:p>
    <w:p w14:paraId="77795FF1">
      <w:pPr>
        <w:numPr>
          <w:numId w:val="0"/>
        </w:numPr>
        <w:bidi w:val="0"/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相关操作或实验结果如图27所示。</w:t>
      </w:r>
    </w:p>
    <w:p w14:paraId="4F9A5442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2603636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图27  增加第三个卷积层后的训练结果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相关操作或实验结果如图28所示。</w:t>
      </w:r>
    </w:p>
    <w:p>
      <w:pPr>
        <w:jc w:val="center"/>
      </w:pPr>
      <w:r>
        <w:drawing>
          <wp:inline distT="0" distB="0" distL="114300" distR="114300">
            <wp:extent cx="4320000" cy="2537349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图28  增加第三个卷积层后的准确率曲线</w:t>
      </w:r>
    </w:p>
    <w:p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【待补充】请在此处增加 CNN 四组对照实验汇总：基线32/64卷积核、16/32卷积核、去掉Dropout、增加第三个卷积层。每组填写参数量、最终训练准确率、测试准确率和训练时间，并根据实际数值作结论。</w:t>
      </w:r>
    </w:p>
    <w:p w14:paraId="25961E2B">
      <w:pPr>
        <w:pStyle w:val="2"/>
        <w:numPr>
          <w:ilvl w:val="0"/>
          <w:numId w:val="3"/>
        </w:numPr>
        <w:bidi w:val="0"/>
        <w:spacing w:line="240" w:lineRule="auto" w:before="240" w:after="240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6  猫狗图像识别</w:t>
      </w:r>
    </w:p>
    <w:p w14:paraId="5D7EDE33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6.1  运行结果</w:t>
      </w:r>
    </w:p>
    <w:p w14:paraId="2FCCC0CD">
      <w:pPr>
        <w:pStyle w:val="3"/>
        <w:numPr>
          <w:numId w:val="0"/>
        </w:numPr>
        <w:bidi w:val="0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6.2  问题分析与解决方案</w:t>
      </w:r>
    </w:p>
    <w:p w14:paraId="03526560">
      <w:pPr>
        <w:pStyle w:val="Heading3"/>
        <w:numPr>
          <w:numId w:val="0"/>
        </w:numPr>
        <w:bidi w:val="0"/>
        <w:spacing w:line="360" w:lineRule="auto" w:before="60" w:after="6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6.2.1  数据路径配置错误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相关操作或实验结果如图29所示。</w:t>
      </w:r>
    </w:p>
    <w:p w14:paraId="604518E0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889957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图29  猫狗识别中的数据路径错误</w:t>
      </w:r>
    </w:p>
    <w:p w14:paraId="1761B559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解决方法</w:t>
      </w:r>
    </w:p>
    <w:p w14:paraId="770FA249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将数据路径改为本机实际保存位置，并确认该目录存在且当前账户具有读取权限。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相关操作或实验结果如图30所示。</w:t>
      </w:r>
    </w:p>
    <w:p w14:paraId="443251A7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4320000" cy="859292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图30  猫狗识别程序运行结果</w:t>
      </w:r>
    </w:p>
    <w:p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【待补充】请在此处补充猫狗分类的训练集/测试集准确率、最终损失和训练轮数；建议再加入混淆矩阵或2—4个预测样例，并分析至少一种误分类原因。当前只有路径问题和运行截图，结果分析不足。</w:t>
      </w:r>
    </w:p>
    <w:p w14:paraId="420591EB">
      <w:pPr>
        <w:pStyle w:val="2"/>
        <w:numPr>
          <w:ilvl w:val="0"/>
          <w:numId w:val="3"/>
        </w:numPr>
        <w:bidi w:val="0"/>
        <w:spacing w:line="240" w:lineRule="auto" w:before="240" w:after="240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7  VGG16 迁移学习</w:t>
      </w:r>
    </w:p>
    <w:p w14:paraId="2D23B116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7.1  VGG16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相关操作或实验结果如图31所示。</w:t>
      </w:r>
    </w:p>
    <w:p w14:paraId="7EC60258">
      <w:pPr>
        <w:jc w:val="center"/>
      </w:pPr>
      <w:r>
        <w:drawing>
          <wp:inline distT="0" distB="0" distL="114300" distR="114300">
            <wp:extent cx="4320000" cy="2067625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图31  VGG16 迁移学习训练过程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相关操作或实验结果如图32所示。</w:t>
      </w:r>
    </w:p>
    <w:p>
      <w:pPr>
        <w:jc w:val="center"/>
      </w:pPr>
      <w:r>
        <w:drawing>
          <wp:inline distT="0" distB="0" distL="114300" distR="114300">
            <wp:extent cx="4320000" cy="4719384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1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图32  VGG16 迁移学习损失曲线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相关操作或实验结果如图33所示。</w:t>
      </w:r>
    </w:p>
    <w:p>
      <w:pPr>
        <w:jc w:val="center"/>
      </w:pPr>
      <w:r>
        <w:drawing>
          <wp:inline distT="0" distB="0" distL="114300" distR="114300">
            <wp:extent cx="4320000" cy="3670088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7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图33  VGG16 猫狗识别结果</w:t>
      </w:r>
    </w:p>
    <w:p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【待补充】请在此处填写 VGG16 的可训练参数量、训练时间、最终损失和测试准确率，并与第6章从零训练的CNN使用同一数据划分进行对比。注意区分“单轮耗时”和“达到目标精度所需总时间”。</w:t>
      </w:r>
    </w:p>
    <w:p w14:paraId="1DFB1D05">
      <w:pPr>
        <w:pStyle w:val="3"/>
        <w:spacing w:line="240" w:lineRule="auto" w:before="120" w:after="120"/>
        <w:rPr>
          <w:rFonts w:hint="eastAsia"/>
        </w:rPr>
      </w:pPr>
      <w:r>
        <w:rPr>
          <w:rFonts w:ascii="Times New Roman" w:hAnsi="Times New Roman" w:eastAsia="黑体"/>
          <w:b/>
          <w:sz w:val="30"/>
        </w:rPr>
        <w:t>7.2  VGG16 微调与从零训练 CNN 的比较</w:t>
      </w:r>
    </w:p>
    <w:p w14:paraId="2182F3A3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1. 数据需求：VGG16 的预训练权重已从 ImageNet 学到通用视觉特征，因此在样本较少时通常比从零训练 CNN 更容易获得较好的泛化性能。</w:t>
      </w:r>
    </w:p>
    <w:p w14:paraId="2F25892C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2. 训练开销：冻结大部分特征层时，需要更新的参数更少，达到可用精度所需的训练轮数可能减少；但 VGG16 本身计算量较大，单轮耗时不一定短于简易 CNN。</w:t>
      </w:r>
    </w:p>
    <w:p w14:paraId="62907E14">
      <w:pPr>
        <w:numPr>
          <w:numId w:val="0"/>
        </w:numPr>
        <w:bidi w:val="0"/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3. 损失与精度：本次结果用于比较两种模型的收敛过程和测试精度。预训练模型通常收敛更快，但最终结论仍应依据相同数据划分与评价指标下的实测数值。</w:t>
      </w:r>
    </w:p>
    <w:p w14:paraId="3E47E819">
      <w:pPr>
        <w:pStyle w:val="2"/>
        <w:bidi w:val="0"/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8  VGG16 特征可视化</w:t>
      </w:r>
    </w:p>
    <w:p w14:paraId="682FB658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8.1  浅层卷积特征图</w:t>
      </w:r>
    </w:p>
    <w:p w14:paraId="4E8966B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sz w:val="24"/>
          <w:lang w:val="en-US" w:eastAsia="zh-CN"/>
        </w:rPr>
        <w:t>对比图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相关操作或实验结果如图34所示。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图34  VGG16 输入原图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相关操作或实验结果如图35所示。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图35  VGG16 浅层卷积特征图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相关操作或实验结果如图36所示。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图36  浅层卷积特征与原图对比</w:t>
      </w:r>
    </w:p>
    <w:p w14:paraId="5E95D102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8.2  深层特征图</w:t>
      </w:r>
    </w:p>
    <w:p w14:paraId="3E73DC8B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相关操作或实验结果如图37所示。</w:t>
      </w:r>
    </w:p>
    <w:p w14:paraId="38A985F5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40000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图37  VGG16 深层特征图（一）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相关操作或实验结果如图38所示。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图38  VGG16 深层特征图（二）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相关操作或实验结果如图39所示。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图39  VGG16 深层特征图（三）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相关操作或实验结果如图40所示。</w:t>
      </w:r>
    </w:p>
    <w:p>
      <w:pPr>
        <w:jc w:val="center"/>
      </w:pPr>
      <w:r>
        <w:drawing>
          <wp:inline distT="0" distB="0" distL="114300" distR="114300">
            <wp:extent cx="4320000" cy="3240000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图40  VGG16 深层特征图（四）</w:t>
      </w:r>
    </w:p>
    <w:p w14:paraId="228C04A5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8.3  Grad-CAM 热力图</w:t>
      </w:r>
    </w:p>
    <w:p w14:paraId="58E7DC16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上采样放大后的热力图，代表网络激活区域。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相关操作或实验结果如图41所示。</w:t>
      </w:r>
    </w:p>
    <w:p w14:paraId="36219094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40000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图41  Grad-CAM 热力图</w:t>
      </w:r>
    </w:p>
    <w:p w14:paraId="71326860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8.4  热力图与原图叠加</w:t>
      </w:r>
    </w:p>
    <w:p w14:paraId="3B2B5B53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热力图叠加在原始图片上，直观展示模型重点关注区域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相关操作或实验结果如图42所示。</w:t>
      </w:r>
    </w:p>
    <w:p w14:paraId="7F630716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40000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图42  Grad-CAM 热力图与原图叠加结果</w:t>
      </w:r>
    </w:p>
    <w:p w14:paraId="3DBC4DAD">
      <w:pPr>
        <w:pStyle w:val="3"/>
        <w:tabs>
          <w:tab w:val="left" w:pos="3167"/>
        </w:tabs>
        <w:bidi w:val="0"/>
        <w:spacing w:line="240" w:lineRule="auto" w:before="120" w:after="12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30"/>
        </w:rPr>
        <w:t>8.5  类别激活结果分析</w:t>
      </w:r>
    </w:p>
    <w:p w14:paraId="75B62BD0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line="360" w:lineRule="auto" w:before="0" w:after="0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34C23676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9  电力负荷预测中的特征工程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相关操作或实验结果如图43所示。</w:t>
      </w:r>
    </w:p>
    <w:p>
      <w:pPr>
        <w:jc w:val="center"/>
      </w:pPr>
      <w:r>
        <w:drawing>
          <wp:inline distT="0" distB="0" distL="0" distR="0">
            <wp:extent cx="4320000" cy="3240000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图43  VGG16 类别激活可视化结果</w:t>
      </w:r>
    </w:p>
    <w:p w14:paraId="1EBB77E5">
      <w:pPr>
        <w:rPr>
          <w:rFonts w:hint="eastAsia"/>
          <w:lang w:val="en-US" w:eastAsia="zh-CN"/>
        </w:rPr>
      </w:pPr>
    </w:p>
    <w:p w14:paraId="6B3F2A49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9.1  基线特征模型</w:t>
      </w:r>
    </w:p>
    <w:p w14:paraId="3E4E8C5F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运行代码结果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相关操作或实验结果如图44所示。</w:t>
      </w:r>
    </w:p>
    <w:p w14:paraId="66D84BB1">
      <w:pPr>
        <w:jc w:val="center"/>
      </w:pPr>
      <w:r>
        <w:drawing>
          <wp:inline distT="0" distB="0" distL="114300" distR="114300">
            <wp:extent cx="4320000" cy="2880000"/>
            <wp:effectExtent l="0" t="0" r="8890" b="5715"/>
            <wp:docPr id="6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图44  基线特征模型的预测结果</w:t>
      </w:r>
    </w:p>
    <w:p w14:paraId="40E15CE2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9.2  人工构造滞后与统计特征</w:t>
      </w:r>
    </w:p>
    <w:p w14:paraId="4BE7EBA2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代码运行结果</w:t>
      </w:r>
    </w:p>
    <w:p w14:paraId="547CDF15">
      <w:pPr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基线模型仅使用月份、星期、季节和是否周末等日历类别特征，并由 Embedding 与 MLP 学习非线性关系；它未显式利用历史负荷信息。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相关操作或实验结果如图45所示。</w:t>
      </w:r>
    </w:p>
    <w:p>
      <w:pPr>
        <w:jc w:val="center"/>
      </w:pPr>
      <w:r>
        <w:drawing>
          <wp:inline distT="0" distB="0" distL="114300" distR="114300">
            <wp:extent cx="4320000" cy="2799031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图45  加入滞后与统计特征后的预测结果</w:t>
      </w:r>
    </w:p>
    <w:p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【待补充】请在此处列出未加入历史负荷特征和加入滞后/统计特征后的 MAE、RMSE、R²（至少选择两项），并注明训练集、验证集、测试集的时间划分方式，避免时间序列数据泄漏。</w:t>
      </w:r>
    </w:p>
    <w:p w14:paraId="7F72B7A0">
      <w:pPr>
        <w:rPr>
          <w:rFonts w:hint="eastAsia"/>
        </w:rPr>
      </w:pPr>
    </w:p>
    <w:p w14:paraId="33AF79BE">
      <w:pPr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0F240B12">
      <w:p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比较两种方案时，应保持训练集、测试集、网络结构、学习率、训练轮数和随机种子一致，并报告 MSE、RMSE 或 MAE。若改进模型在独立测试集上的误差更低，才能说明这些历史负荷特征在本次实验中有效。</w:t>
      </w:r>
    </w:p>
    <w:p w14:paraId="2F14A903">
      <w:pPr>
        <w:pStyle w:val="3"/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9.3  问题分析与解决方案</w:t>
      </w:r>
    </w:p>
    <w:p w14:paraId="68D4BAD9">
      <w:pPr>
        <w:pStyle w:val="Heading3"/>
        <w:spacing w:line="360" w:lineRule="auto" w:before="60" w:after="60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9.3.1  缺少 pandas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相关操作或实验结果如图46所示。</w:t>
      </w:r>
    </w:p>
    <w:p w14:paraId="28897BD2">
      <w:pPr>
        <w:jc w:val="center"/>
      </w:pPr>
      <w:r>
        <w:drawing>
          <wp:inline distT="0" distB="0" distL="114300" distR="114300">
            <wp:extent cx="4320000" cy="840969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4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图46  缺少 pandas 时的报错信息</w:t>
      </w:r>
    </w:p>
    <w:p w14:paraId="0A602E5A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当前 PyTorch 虚拟环境缺少 pandas 库，程序无法导入相应模块。</w:t>
      </w:r>
    </w:p>
    <w:p w14:paraId="42B7C07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22BE48DE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pandas，安装完成后重新运行程序。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相关操作或实验结果如图47所示。</w:t>
      </w:r>
    </w:p>
    <w:p w14:paraId="1AB44958">
      <w:pPr>
        <w:jc w:val="center"/>
      </w:pPr>
      <w:r>
        <w:drawing>
          <wp:inline distT="0" distB="0" distL="114300" distR="114300">
            <wp:extent cx="4320000" cy="1539556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图47  pandas 安装结果</w:t>
      </w:r>
    </w:p>
    <w:p w14:paraId="2E6A2514">
      <w:pPr>
        <w:pStyle w:val="Heading3"/>
        <w:spacing w:line="360" w:lineRule="auto" w:before="60" w:after="6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9.3.2  缺少 scikit-learn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相关操作或实验结果如图48所示。</w:t>
      </w:r>
    </w:p>
    <w:p w14:paraId="27E0EB4F">
      <w:pPr>
        <w:jc w:val="center"/>
      </w:pPr>
      <w:r>
        <w:drawing>
          <wp:inline distT="0" distB="0" distL="114300" distR="114300">
            <wp:extent cx="4320000" cy="850643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图48  缺少 scikit-learn 时的报错信息</w:t>
      </w:r>
    </w:p>
    <w:p w14:paraId="07F6D571">
      <w:p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导入名为 sklearn，但安装包名为 scikit-learn；当前 PyTorch Conda 环境缺少该依赖。</w:t>
      </w:r>
    </w:p>
    <w:p w14:paraId="2A9195FA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4C2EC1BA">
      <w:pPr>
        <w:pStyle w:val="11"/>
        <w:keepNext w:val="0"/>
        <w:keepLines w:val="0"/>
        <w:widowControl/>
        <w:suppressLineNumbers w:val="0"/>
        <w:spacing w:line="360" w:lineRule="auto" w:before="0" w:after="0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scikit-learn。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相关操作或实验结果如图49所示。</w:t>
      </w:r>
    </w:p>
    <w:p w14:paraId="3CD102B3">
      <w:pPr>
        <w:jc w:val="center"/>
      </w:pPr>
      <w:r>
        <w:drawing>
          <wp:inline distT="0" distB="0" distL="114300" distR="114300">
            <wp:extent cx="4320000" cy="3222135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2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图49  scikit-learn 安装结果</w:t>
      </w:r>
    </w:p>
    <w:p w14:paraId="17E113E6">
      <w:pPr>
        <w:pStyle w:val="Heading3"/>
        <w:spacing w:line="360" w:lineRule="auto" w:before="60" w:after="6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9.3.3  缺少 openpyxl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相关操作或实验结果如图50所示。</w:t>
      </w:r>
    </w:p>
    <w:p w14:paraId="218A8A67">
      <w:pPr>
        <w:jc w:val="center"/>
      </w:pPr>
      <w:r>
        <w:drawing>
          <wp:inline distT="0" distB="0" distL="114300" distR="114300">
            <wp:extent cx="4320000" cy="1169841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6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图50  缺少 openpyxl 时的报错信息</w:t>
      </w:r>
    </w:p>
    <w:p w14:paraId="35B45A7E">
      <w:p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pandas 读写 .xlsx 文件需要 openpyxl；当前 PyTorch 环境缺少该依赖。</w:t>
      </w:r>
    </w:p>
    <w:p w14:paraId="131F9C26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3BC367A1">
      <w:p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openpyxl。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相关操作或实验结果如图51所示。</w:t>
      </w:r>
    </w:p>
    <w:p w14:paraId="1EDE2672">
      <w:pPr>
        <w:jc w:val="center"/>
      </w:pPr>
      <w:r>
        <w:drawing>
          <wp:inline distT="0" distB="0" distL="114300" distR="114300">
            <wp:extent cx="4320000" cy="1269153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6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图51  openpyxl 安装结果</w:t>
      </w:r>
    </w:p>
    <w:p w14:paraId="4C3B8FBE">
      <w:pPr>
        <w:pStyle w:val="2"/>
        <w:numPr>
          <w:ilvl w:val="0"/>
          <w:numId w:val="0"/>
        </w:numPr>
        <w:bidi w:val="0"/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10  TabNet 电力负荷预测</w:t>
      </w:r>
    </w:p>
    <w:p w14:paraId="5E04B075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10.1  运行结果</w:t>
      </w:r>
    </w:p>
    <w:p w14:paraId="13A1BFB3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特征重要性柱状图</w:t>
      </w:r>
    </w:p>
    <w:p w14:paraId="195A5737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numId w:val="0"/>
        </w:numPr>
        <w:spacing w:line="360" w:lineRule="auto" w:before="0" w:after="0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真实‑预测折线对比图</w:t>
      </w:r>
    </w:p>
    <w:p w14:paraId="4D392E5E">
      <w:pPr>
        <w:numPr>
          <w:numId w:val="0"/>
        </w:numPr>
        <w:spacing w:line="360" w:lineRule="auto" w:before="0" w:after="0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作用：直观展示电力负荷预测效果，看曲线能跟上真实负荷的起伏，代表预测任务完成。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相关操作或实验结果如图52所示。</w:t>
      </w:r>
    </w:p>
    <w:p>
      <w:pPr>
        <w:jc w:val="center"/>
      </w:pPr>
      <w:r>
        <w:drawing>
          <wp:inline distT="0" distB="0" distL="114300" distR="114300">
            <wp:extent cx="4320000" cy="2160000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图52  TabNet 特征重要性结果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相关操作或实验结果如图53所示。</w:t>
      </w:r>
    </w:p>
    <w:p>
      <w:pPr>
        <w:jc w:val="center"/>
      </w:pPr>
      <w:r>
        <w:drawing>
          <wp:inline distT="0" distB="0" distL="114300" distR="114300">
            <wp:extent cx="4320000" cy="1800000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图53  TabNet 真实值与预测值对比</w:t>
      </w:r>
    </w:p>
    <w:p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【待补充】请在此处记录 TabNet 的总参数量、训练时间、最佳验证轮次、测试集 MAE/RMSE/R²，并说明图53中特征重要性最高的特征及其业务含义。</w:t>
      </w:r>
    </w:p>
    <w:p w14:paraId="663ECB48">
      <w:pPr>
        <w:pStyle w:val="2"/>
        <w:numPr>
          <w:ilvl w:val="0"/>
          <w:numId w:val="0"/>
        </w:numPr>
        <w:bidi w:val="0"/>
        <w:spacing w:line="240" w:lineRule="auto" w:before="240" w:after="24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11  FT-Transformer 电力负荷预测</w:t>
      </w:r>
    </w:p>
    <w:p w14:paraId="66149F40">
      <w:pPr>
        <w:pStyle w:val="3"/>
        <w:numPr>
          <w:numId w:val="0"/>
        </w:numPr>
        <w:spacing w:line="240" w:lineRule="auto" w:before="120" w:after="12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11.1  FT-Transformer 电力负荷预测结果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相关操作或实验结果如图54所示。</w:t>
      </w:r>
    </w:p>
    <w:p w14:paraId="2868FD7C">
      <w:pPr>
        <w:numPr>
          <w:numId w:val="0"/>
        </w:numPr>
        <w:jc w:val="center"/>
      </w:pPr>
      <w:r>
        <w:drawing>
          <wp:inline distT="0" distB="0" distL="114300" distR="114300">
            <wp:extent cx="4320000" cy="1071797"/>
            <wp:effectExtent l="0" t="0" r="10795" b="6350"/>
            <wp:docPr id="6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7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图54  FT-Transformer 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相关操作或实验结果如图55所示。</w:t>
      </w:r>
    </w:p>
    <w:p>
      <w:pPr>
        <w:jc w:val="center"/>
      </w:pPr>
      <w:r>
        <w:drawing>
          <wp:inline distT="0" distB="0" distL="114300" distR="114300">
            <wp:extent cx="4320000" cy="1800000"/>
            <wp:effectExtent l="0" t="0" r="11430" b="12065"/>
            <wp:docPr id="7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图55  FT-Transformer 真实值与预测值对比</w:t>
      </w:r>
    </w:p>
    <w:p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【待补充】这是课程PDF明确要求的重点。请在下表填写 MLP、TabNet、FT-Transformer 的真实实验数值；三种模型必须使用相同的数据划分、输入特征和评价指标。参数量可用 sum(p.numel() for p in model.parameters()) 统计。</w:t>
      </w:r>
    </w:p>
    <w:tbl>
      <w:tblPr>
        <w:tblStyle w:val="15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最佳轮次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RMSE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R²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MLP（课堂练习）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TabNet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FT-Transformer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21"/>
                <w:highlight w:val="yellow"/>
              </w:rPr>
              <w:t>【填写实测值】</w:t>
            </w:r>
          </w:p>
        </w:tc>
      </w:tr>
    </w:tbl>
    <w:p>
      <w:pPr>
        <w:spacing w:line="300" w:lineRule="auto" w:before="80" w:after="120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【待补充】表格后请用一段话总结：哪种模型误差最低、参数量和训练时间的代价如何，以及 FT-Transformer 对尖峰拟合较弱是否能从指标和曲线中同时得到支持。</w:t>
      </w:r>
    </w:p>
    <w:p w14:paraId="4CDF65CB">
      <w:pPr>
        <w:numPr>
          <w:numId w:val="0"/>
        </w:numPr>
        <w:spacing w:line="360" w:lineRule="auto" w:before="0" w:after="0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本次 FT-Transformer 的预测曲线能够跟随电力负荷的整体趋势和周期变化，但对突发尖峰与骤降的拟合较弱。可能原因包括样本量有限、极端样本占比较低，以及平方误差目标使模型倾向于平滑预测。与 MLP、TabNet 的比较应基于相同数据划分、预处理、随机种子和评价指标；本次结果只能说明各模型在当前实验设置下的差异，不能据此断言某类模型普遍更优。</w:t>
      </w:r>
    </w:p>
    <w:p>
      <w:pPr>
        <w:pStyle w:val="2"/>
        <w:spacing w:line="240" w:lineRule="auto" w:before="240" w:after="240"/>
      </w:pPr>
      <w:r>
        <w:rPr>
          <w:rFonts w:ascii="Times New Roman" w:hAnsi="Times New Roman" w:eastAsia="黑体"/>
          <w:b/>
          <w:sz w:val="44"/>
        </w:rPr>
        <w:t>12  AI 辅助使用声明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p>
      <w:pPr>
        <w:pStyle w:val="2"/>
      </w:pPr>
      <w:r>
        <w:t>13  提交前补充清单（填写完成后删除本节）</w:t>
      </w:r>
    </w:p>
    <w:p>
      <w:pPr>
        <w:spacing w:line="300" w:lineRule="auto" w:before="80" w:after="120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□ 封面学院、专业、学号、姓名均已填写。</w:t>
      </w:r>
    </w:p>
    <w:p>
      <w:pPr>
        <w:spacing w:line="300" w:lineRule="auto" w:before="80" w:after="120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□ 所有对照实验写出了实际准确率、损失或误差指标，而不是只写理论趋势。</w:t>
      </w:r>
    </w:p>
    <w:p>
      <w:pPr>
        <w:spacing w:line="300" w:lineRule="auto" w:before="80" w:after="120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□ 猫狗CNN与VGG16使用同一数据划分，并给出训练时间、损失和准确率。</w:t>
      </w:r>
    </w:p>
    <w:p>
      <w:pPr>
        <w:spacing w:line="300" w:lineRule="auto" w:before="80" w:after="120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□ MLP、TabNet、FT-Transformer给出了参数量和统一测试集上的量化指标。</w:t>
      </w:r>
    </w:p>
    <w:p>
      <w:pPr>
        <w:spacing w:line="300" w:lineRule="auto" w:before="80" w:after="120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□ 时间序列数据按时间先后划分，归一化参数仅由训练集拟合，未发生数据泄漏。</w:t>
      </w:r>
    </w:p>
    <w:p>
      <w:pPr>
        <w:spacing w:line="300" w:lineRule="auto" w:before="80" w:after="120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□ 所有黄色“【待补充】”内容均已填写并删除提示文字。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7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6779F6E"/>
    <w:multiLevelType w:val="singleLevel"/>
    <w:tmpl w:val="26779F6E"/>
    <w:lvl w:ilvl="0" w:tentative="0">
      <w:start w:val="4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5">
    <w:name w:val="annotation text"/>
    <w:basedOn w:val="1"/>
    <w:link w:val="29"/>
    <w:semiHidden/>
    <w:unhideWhenUsed/>
    <w:uiPriority w:val="99"/>
    <w:pPr>
      <w:jc w:val="left"/>
    </w:pPr>
  </w:style>
  <w:style w:type="paragraph" w:styleId="6">
    <w:name w:val="Balloon Text"/>
    <w:basedOn w:val="1"/>
    <w:link w:val="31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0">
    <w:name w:val="toc 2"/>
    <w:basedOn w:val="1"/>
    <w:next w:val="1"/>
    <w:semiHidden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1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annotation subject"/>
    <w:basedOn w:val="5"/>
    <w:next w:val="5"/>
    <w:link w:val="30"/>
    <w:semiHidden/>
    <w:unhideWhenUsed/>
    <w:uiPriority w:val="99"/>
    <w:rPr>
      <w:b/>
      <w:bCs/>
    </w:rPr>
  </w:style>
  <w:style w:type="table" w:styleId="15">
    <w:name w:val="Table Grid"/>
    <w:basedOn w:val="1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page number"/>
    <w:basedOn w:val="16"/>
    <w:uiPriority w:val="0"/>
  </w:style>
  <w:style w:type="character" w:styleId="19">
    <w:name w:val="Hyperlink"/>
    <w:basedOn w:val="16"/>
    <w:uiPriority w:val="0"/>
    <w:rPr>
      <w:color w:val="0000FF"/>
      <w:u w:val="single"/>
    </w:rPr>
  </w:style>
  <w:style w:type="character" w:styleId="20">
    <w:name w:val="HTML Code"/>
    <w:basedOn w:val="16"/>
    <w:uiPriority w:val="0"/>
    <w:rPr>
      <w:rFonts w:ascii="Courier New" w:hAnsi="Courier New"/>
      <w:sz w:val="20"/>
    </w:rPr>
  </w:style>
  <w:style w:type="character" w:styleId="21">
    <w:name w:val="annotation reference"/>
    <w:basedOn w:val="16"/>
    <w:semiHidden/>
    <w:unhideWhenUsed/>
    <w:uiPriority w:val="99"/>
    <w:rPr>
      <w:sz w:val="21"/>
      <w:szCs w:val="21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页眉 字符"/>
    <w:basedOn w:val="16"/>
    <w:link w:val="8"/>
    <w:uiPriority w:val="99"/>
    <w:rPr>
      <w:sz w:val="18"/>
      <w:szCs w:val="18"/>
    </w:rPr>
  </w:style>
  <w:style w:type="character" w:customStyle="1" w:styleId="24">
    <w:name w:val="页脚 字符"/>
    <w:basedOn w:val="16"/>
    <w:link w:val="7"/>
    <w:qFormat/>
    <w:uiPriority w:val="99"/>
    <w:rPr>
      <w:sz w:val="18"/>
      <w:szCs w:val="18"/>
    </w:rPr>
  </w:style>
  <w:style w:type="character" w:customStyle="1" w:styleId="25">
    <w:name w:val="标题 1 字符"/>
    <w:basedOn w:val="16"/>
    <w:qFormat/>
    <w:uiPriority w:val="9"/>
    <w:rPr>
      <w:b/>
      <w:bCs/>
      <w:kern w:val="44"/>
      <w:sz w:val="44"/>
      <w:szCs w:val="44"/>
    </w:rPr>
  </w:style>
  <w:style w:type="character" w:customStyle="1" w:styleId="26">
    <w:name w:val="标题 2 字符"/>
    <w:basedOn w:val="16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7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8">
    <w:name w:val="标题 2 字符1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9">
    <w:name w:val="批注文字 字符"/>
    <w:basedOn w:val="16"/>
    <w:link w:val="5"/>
    <w:semiHidden/>
    <w:uiPriority w:val="99"/>
    <w:rPr>
      <w:kern w:val="2"/>
      <w:sz w:val="21"/>
      <w:szCs w:val="22"/>
    </w:rPr>
  </w:style>
  <w:style w:type="character" w:customStyle="1" w:styleId="30">
    <w:name w:val="批注主题 字符"/>
    <w:basedOn w:val="29"/>
    <w:link w:val="13"/>
    <w:semiHidden/>
    <w:uiPriority w:val="99"/>
    <w:rPr>
      <w:b/>
      <w:bCs/>
      <w:kern w:val="2"/>
      <w:sz w:val="21"/>
      <w:szCs w:val="22"/>
    </w:rPr>
  </w:style>
  <w:style w:type="character" w:customStyle="1" w:styleId="31">
    <w:name w:val="批注框文本 字符"/>
    <w:basedOn w:val="16"/>
    <w:link w:val="6"/>
    <w:semiHidden/>
    <w:uiPriority w:val="99"/>
    <w:rPr>
      <w:kern w:val="2"/>
      <w:sz w:val="18"/>
      <w:szCs w:val="18"/>
    </w:rPr>
  </w:style>
  <w:style w:type="paragraph" w:customStyle="1" w:styleId="Heading3">
    <w:name w:val="heading 3"/>
    <w:basedOn w:val="1"/>
  </w:style>
  <w:style w:type="paragraph" w:customStyle="1" w:styleId="Caption">
    <w:name w:val="caption"/>
    <w:basedOn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numbering" Target="numbering.xml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emf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34</Words>
  <Characters>34</Characters>
  <Lines>3</Lines>
  <Paragraphs>1</Paragraphs>
  <TotalTime>34</TotalTime>
  <ScaleCrop>false</ScaleCrop>
  <LinksUpToDate>false</LinksUpToDate>
  <CharactersWithSpaces>52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2026-10-26T01:34:13Z</dcterms:modified>
  <cp:revision>21</cp:revision>
  <dc:title>《深度学习案例与实践》结课报告（待补充标注版）</dc:title>
  <dc:subject>课程实验结果、问题分析与模型比较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