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宋体" w:cs="Times New Roman"/>
          <w:b/>
          <w:color w:val="000000"/>
          <w:sz w:val="24"/>
        </w:rPr>
        <w:t>《深度学习案例与实践》</w:t>
      </w:r>
    </w:p>
    <w:p w14:paraId="230EE91B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宋体" w:cs="Times New Roman"/>
          <w:b/>
          <w:color w:val="000000"/>
          <w:sz w:val="24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/>
                <w:kern w:val="10"/>
                <w:sz w:val="21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【请填写学院】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【请填写专业】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【请填写学号】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【请填写姓名】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7CAF00BF">
      <w:pPr>
        <w:widowControl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eastAsia="宋体"/>
          <w:color w:val="000000"/>
          <w:sz w:val="24"/>
          <w:szCs w:val="18"/>
        </w:rPr>
        <w:br w:type="page"/>
      </w:r>
    </w:p>
    <w:p w14:paraId="71B3E9B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3E6DFE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3"/>
        <w:gridCol w:w="2858"/>
      </w:tblGrid>
      <w:tr w14:paraId="79C24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2831" w:type="dxa"/>
            <w:vAlign w:val="center"/>
          </w:tcPr>
          <w:p w14:paraId="0DA6F61C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33" w:type="dxa"/>
            <w:vAlign w:val="center"/>
          </w:tcPr>
          <w:p w14:paraId="593C37E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58" w:type="dxa"/>
            <w:vAlign w:val="center"/>
          </w:tcPr>
          <w:p w14:paraId="7638BD47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75235A59">
      <w:pPr>
        <w:pStyle w:val="2"/>
        <w:spacing w:before="240" w:after="240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1  Anaconda 下载与环境配置</w:t>
      </w:r>
    </w:p>
    <w:p w14:paraId="07A0EBB3">
      <w:pPr>
        <w:pStyle w:val="3"/>
        <w:spacing w:before="120" w:after="120"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1.1  下载页面</w:t>
      </w:r>
    </w:p>
    <w:p w14:paraId="014510E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相关操作或实验结果如图1所示。</w:t>
      </w:r>
    </w:p>
    <w:p w14:paraId="231E63A7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086021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CDE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  Anaconda 官方下载页面</w:t>
      </w:r>
    </w:p>
    <w:p w14:paraId="7079FCF6">
      <w:pPr>
        <w:pStyle w:val="13"/>
        <w:keepNext w:val="0"/>
        <w:keepLines w:val="0"/>
        <w:widowControl/>
        <w:suppressLineNumbers w:val="0"/>
        <w:spacing w:before="0" w:after="0" w:line="360" w:lineRule="auto"/>
        <w:ind w:right="720"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不要点绿色</w:t>
      </w:r>
      <w:r>
        <w:rPr>
          <w:rStyle w:val="21"/>
          <w:rFonts w:hint="eastAsia" w:ascii="Times New Roman" w:hAnsi="Times New Roman" w:eastAsia="宋体" w:cs="宋体"/>
          <w:color w:val="000000"/>
          <w:sz w:val="24"/>
          <w:szCs w:val="24"/>
        </w:rPr>
        <w:t>Get Started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，那个会要求注册账号。直接用</w:t>
      </w:r>
      <w:r>
        <w:rPr>
          <w:rStyle w:val="18"/>
          <w:rFonts w:hint="eastAsia" w:ascii="Times New Roman" w:hAnsi="Times New Roman" w:eastAsia="宋体" w:cs="宋体"/>
          <w:color w:val="000000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，绕开登录即可下载安装包。</w:t>
      </w:r>
    </w:p>
    <w:p w14:paraId="7DB6569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3.官网下载慢，用清华的镜像网站</w:t>
      </w:r>
    </w:p>
    <w:p w14:paraId="31F42B9B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color w:val="000000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宋体"/>
          <w:color w:val="000000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 w:cs="宋体"/>
          <w:color w:val="000000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xxx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Windows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x86_64.exe 下载。</w:t>
      </w:r>
    </w:p>
    <w:p w14:paraId="5A933CC6">
      <w:pPr>
        <w:spacing w:before="0" w:after="0" w:line="360" w:lineRule="auto"/>
        <w:ind w:firstLine="480"/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4.</w:t>
      </w:r>
    </w:p>
    <w:p w14:paraId="7DEBC6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相关操作或实验结果如图2所示。</w:t>
      </w:r>
    </w:p>
    <w:p w14:paraId="1FCC7614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81677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1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3EA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  Anaconda 发行版选择页面</w:t>
      </w:r>
    </w:p>
    <w:p w14:paraId="4A0E0269">
      <w:p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选择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Anaconda Distribution</w:t>
      </w: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这个</w:t>
      </w:r>
    </w:p>
    <w:p w14:paraId="081DD1BE">
      <w:pPr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5.检验是否安装</w:t>
      </w:r>
    </w:p>
    <w:p w14:paraId="147A5078">
      <w:pPr>
        <w:spacing w:before="0" w:after="0" w:line="360" w:lineRule="auto"/>
        <w:ind w:firstLine="48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相关操作或实验结果如图3所示。</w:t>
      </w:r>
    </w:p>
    <w:p w14:paraId="00318F5A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255570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394B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图3  Conda 命令检验</w:t>
      </w:r>
    </w:p>
    <w:p w14:paraId="6B36B0C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相关操作或实验结果如图4所示。</w:t>
      </w:r>
    </w:p>
    <w:p w14:paraId="12B81B27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239694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EAA5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打开Anaconda Prompt</w:t>
      </w:r>
    </w:p>
    <w:p w14:paraId="4D65C1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相关操作或实验结果如图5所示。</w:t>
      </w:r>
    </w:p>
    <w:p w14:paraId="73050A78">
      <w:pPr>
        <w:numPr>
          <w:ilvl w:val="0"/>
          <w:numId w:val="0"/>
        </w:num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729631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2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E83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输入指令conda create -n pytorch Python=3.12.7</w:t>
      </w:r>
    </w:p>
    <w:p w14:paraId="2DC9D61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相关操作或实验结果如图6所示。</w:t>
      </w:r>
    </w:p>
    <w:p w14:paraId="628E0DE0">
      <w:pPr>
        <w:numPr>
          <w:ilvl w:val="0"/>
          <w:numId w:val="0"/>
        </w:num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852971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5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4FB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激活虚拟环境</w:t>
      </w:r>
    </w:p>
    <w:p w14:paraId="5A8B83A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相关操作或实验结果如图7所示。</w:t>
      </w:r>
    </w:p>
    <w:p w14:paraId="4BE664E7">
      <w:pPr>
        <w:numPr>
          <w:ilvl w:val="0"/>
          <w:numId w:val="0"/>
        </w:num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817263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EAE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Chars="0"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在 pytorch环境下，安装 CPU 版 PyTorch</w:t>
      </w:r>
    </w:p>
    <w:p w14:paraId="231F1E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相关操作或实验结果如图8所示。</w:t>
      </w:r>
    </w:p>
    <w:p w14:paraId="3E22E8ED">
      <w:pPr>
        <w:numPr>
          <w:ilvl w:val="0"/>
          <w:numId w:val="0"/>
        </w:num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251125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F31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打印一个张量</w:t>
      </w:r>
    </w:p>
    <w:p w14:paraId="7F66F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相关操作或实验结果如图9所示。</w:t>
      </w:r>
    </w:p>
    <w:p w14:paraId="3C5EA19C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845498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A43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240" w:after="240" w:line="240" w:lineRule="auto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3.1  基线模型运行结果</w:t>
      </w:r>
    </w:p>
    <w:p w14:paraId="709E301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相关操作或实验结果如图10所示。</w:t>
      </w:r>
    </w:p>
    <w:p w14:paraId="707B9635">
      <w:pPr>
        <w:numPr>
          <w:ilvl w:val="0"/>
          <w:numId w:val="0"/>
        </w:num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119042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1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A77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图10  全连接网络基线训练过程</w:t>
      </w:r>
    </w:p>
    <w:p w14:paraId="1BD3052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相关操作或实验结果如图11所示。</w:t>
      </w:r>
    </w:p>
    <w:p w14:paraId="4CF9D2D5">
      <w:pPr>
        <w:numPr>
          <w:ilvl w:val="0"/>
          <w:numId w:val="0"/>
        </w:num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643563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4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6C3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3.2  隐藏层宽度调整</w:t>
      </w:r>
    </w:p>
    <w:p w14:paraId="7ECFE412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将隐藏层从128改为256，观察准确率变化</w:t>
      </w:r>
    </w:p>
    <w:p w14:paraId="1D37D5A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将这几段代码的128改为256，</w:t>
      </w:r>
      <w:r>
        <w:rPr>
          <w:rFonts w:ascii="Times New Roman" w:hAnsi="Times New Roman" w:eastAsia="宋体"/>
          <w:color w:val="000000"/>
          <w:sz w:val="24"/>
        </w:rPr>
        <w:t>对比之前 128 神经元的准确率：</w:t>
      </w:r>
    </w:p>
    <w:p w14:paraId="748AFB17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相关操作或实验结果如图12所示。</w:t>
      </w:r>
    </w:p>
    <w:p w14:paraId="1C3619C7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494041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CE4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图12  隐藏层宽度调整代码</w:t>
      </w:r>
    </w:p>
    <w:p w14:paraId="7E4AD3F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相关操作或实验结果如图13所示。</w:t>
      </w:r>
    </w:p>
    <w:p w14:paraId="6CBE3A1A">
      <w:pPr>
        <w:numPr>
          <w:ilvl w:val="0"/>
          <w:numId w:val="0"/>
        </w:num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554661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8C67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图13  隐藏层宽度调整后的训练结果</w:t>
      </w:r>
    </w:p>
    <w:p w14:paraId="502228B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相关操作或实验结果如图14所示。</w:t>
      </w:r>
    </w:p>
    <w:p w14:paraId="5648FEFF">
      <w:pPr>
        <w:numPr>
          <w:ilvl w:val="0"/>
          <w:numId w:val="0"/>
        </w:num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715955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346B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图14  隐藏层宽度调整后的准确率曲线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隐藏层宽度实验的量化结果见表1。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表1  隐藏层宽度对准确率和损失的影响</w:t>
      </w: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98.72%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99.01%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0.0284</w:t>
            </w:r>
          </w:p>
        </w:tc>
      </w:tr>
    </w:tbl>
    <w:p w14:paraId="7D117D9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/>
          <w:color w:val="000000"/>
          <w:sz w:val="24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/>
          <w:color w:val="000000"/>
          <w:sz w:val="24"/>
        </w:rPr>
        <w:t>，消除其他因素对实验结果带来的干扰，实验结果如表所示。</w:t>
      </w:r>
    </w:p>
    <w:p w14:paraId="0AAA7FFB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由表 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6B6A186E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453A8A57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相关操作或实验结果如图15所示。</w:t>
      </w:r>
    </w:p>
    <w:p w14:paraId="08BDAF13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964245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6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D31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图15  Adam 优化器训练结果</w:t>
      </w:r>
    </w:p>
    <w:p w14:paraId="1ECEF5D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相关操作或实验结果如图16所示。</w:t>
      </w:r>
    </w:p>
    <w:p w14:paraId="68CE5F48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3098233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9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21E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图16  SGD 优化器训练结果</w:t>
      </w:r>
    </w:p>
    <w:p w14:paraId="3AF04650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优化器训练日志如图 12 所示，两种优化器量化对比结果如表 3 所示。</w:t>
      </w:r>
    </w:p>
    <w:p w14:paraId="2617B767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t>&lt;center&gt;图12 SGD优化器训练日志&lt;/center&gt;&lt;center&gt;表3 Adam与SGD优化器实验量化对比&lt;/center&gt;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Adam与SGD优化器的量化对比结果见表2。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表2  Adam与SGD优化器对比</w:t>
      </w: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97.12%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27</w:t>
            </w:r>
          </w:p>
        </w:tc>
      </w:tr>
    </w:tbl>
    <w:p w14:paraId="66F24332">
      <w:pPr>
        <w:rPr>
          <w:rFonts w:ascii="宋体" w:hAnsi="宋体" w:eastAsia="宋体" w:cs="宋体"/>
          <w:sz w:val="24"/>
          <w:szCs w:val="24"/>
        </w:rPr>
      </w:pPr>
    </w:p>
    <w:p w14:paraId="1C43734A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1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由图 12 可见，SGD 初始损失为 2.3464，损失整体下降趋势平缓，下降速度慢于 Adam。结合表 3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7A868D41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2FC2CC0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相关操作或实验结果如图17所示。</w:t>
      </w:r>
    </w:p>
    <w:p w14:paraId="7BD99C13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706136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0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253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解决方法</w:t>
      </w:r>
    </w:p>
    <w:p w14:paraId="3C1B31D7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t>打开 Anaconda Prompt：</w:t>
      </w:r>
    </w:p>
    <w:p w14:paraId="53E56FA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Consolas"/>
          <w:color w:val="000000"/>
          <w:sz w:val="24"/>
        </w:rPr>
        <w:t>conda activate pytorch</w:t>
      </w:r>
    </w:p>
    <w:p w14:paraId="01F666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/>
          <w:color w:val="000000"/>
          <w:sz w:val="24"/>
        </w:rPr>
        <w:t>pip install matplotlib -i https://pypi.tuna.tsinghua.edu.cn/simple</w:t>
      </w:r>
    </w:p>
    <w:p w14:paraId="7BD4B2C9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激活正确环境后安装 matplotlib，即可恢复绘图功能。</w:t>
      </w:r>
    </w:p>
    <w:p w14:paraId="6283C270">
      <w:pPr>
        <w:pStyle w:val="33"/>
        <w:keepNext w:val="0"/>
        <w:keepLines w:val="0"/>
        <w:widowControl/>
        <w:suppressLineNumbers w:val="0"/>
        <w:spacing w:before="60" w:after="60"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相关操作或实验结果如图18所示。</w:t>
      </w:r>
    </w:p>
    <w:p w14:paraId="73A95C7C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395761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9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C82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解决方法</w:t>
      </w:r>
    </w:p>
    <w:p w14:paraId="77672D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将路径改成</w:t>
      </w:r>
      <w:r>
        <w:rPr>
          <w:rStyle w:val="21"/>
          <w:rFonts w:hint="default" w:ascii="Times New Roman" w:hAnsi="Times New Roman" w:eastAsia="宋体" w:cs="Consolas"/>
          <w:color w:val="000000"/>
          <w:sz w:val="24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240" w:after="240" w:line="240" w:lineRule="auto"/>
        <w:ind w:leftChars="0"/>
      </w:pPr>
      <w:r>
        <w:rPr>
          <w:rFonts w:ascii="Times New Roman" w:hAnsi="Times New Roman" w:eastAsia="宋体"/>
          <w:b/>
          <w:color w:val="000000"/>
          <w:sz w:val="24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4.1  连续训练的基线结果</w:t>
      </w:r>
    </w:p>
    <w:p w14:paraId="57783EB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相关操作或实验结果如图19所示。</w:t>
      </w:r>
    </w:p>
    <w:p w14:paraId="090C35A4">
      <w:pPr>
        <w:numPr>
          <w:ilvl w:val="0"/>
          <w:numId w:val="0"/>
        </w:numPr>
        <w:bidi w:val="0"/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360835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6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8F7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4.2  从检查点恢复训练的结果</w:t>
      </w:r>
    </w:p>
    <w:p w14:paraId="123826D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相关操作或实验结果如图20所示。</w:t>
      </w:r>
    </w:p>
    <w:p w14:paraId="6D05636F">
      <w:pPr>
        <w:numPr>
          <w:ilvl w:val="0"/>
          <w:numId w:val="0"/>
        </w:numPr>
        <w:bidi w:val="0"/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426241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2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06A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图20  从检查点恢复训练的运行结果</w:t>
      </w:r>
    </w:p>
    <w:p w14:paraId="6C18C7D6">
      <w:pPr>
        <w:spacing w:before="0" w:after="0" w:line="360" w:lineRule="auto"/>
        <w:ind w:firstLine="480"/>
      </w:pPr>
      <w:r>
        <w:rPr>
          <w:rFonts w:ascii="Times New Roman" w:hAnsi="Times New Roman" w:eastAsia="宋体" w:cs="宋体"/>
          <w:color w:val="000000"/>
          <w:sz w:val="24"/>
          <w:szCs w:val="24"/>
        </w:rPr>
        <w:t>本实验的 checkpoint 检查点文件内同时保存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、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以及 epoch 信息。其中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存储模型权重参数，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存储优化器内部状态，epoch 记录当前训练轮次，保证恢复训练时模型、优化器状态与训练进度完整承接。 由图 20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  CNN 手写数字识别</w:t>
      </w:r>
    </w:p>
    <w:p w14:paraId="77CB24A2">
      <w:pPr>
        <w:pStyle w:val="3"/>
        <w:spacing w:before="120" w:after="12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5.1  CNN 运行结果</w:t>
      </w:r>
    </w:p>
    <w:p w14:paraId="1560EF3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相关操作或实验结果如图21所示。</w:t>
      </w:r>
    </w:p>
    <w:p w14:paraId="17BB4857">
      <w:pPr>
        <w:numPr>
          <w:ilvl w:val="0"/>
          <w:numId w:val="0"/>
        </w:numPr>
        <w:bidi w:val="0"/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878518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E49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图21  CNN 手写数字识别训练结果</w:t>
      </w:r>
    </w:p>
    <w:p w14:paraId="04D471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相关操作或实验结果如图22所示。</w:t>
      </w:r>
    </w:p>
    <w:p w14:paraId="20155732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475919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28D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transforms.ToTensor()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/>
          <w:b/>
          <w:color w:val="000000"/>
          <w:sz w:val="24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相关操作或实验结果如图23所示。</w:t>
      </w:r>
    </w:p>
    <w:p w14:paraId="6D5B07FC">
      <w:pPr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764851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FCE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图23  卷积核数量调整后的训练结果</w:t>
      </w:r>
    </w:p>
    <w:p w14:paraId="7B0AA09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相关操作或实验结果如图24所示。</w:t>
      </w:r>
    </w:p>
    <w:p w14:paraId="3F9FD5D8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699444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70C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10AF606C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5.2.4  增加第三个卷积层的影响</w:t>
      </w:r>
    </w:p>
    <w:p w14:paraId="6EEAD5D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相关操作或实验结果如图25所示。</w:t>
      </w:r>
    </w:p>
    <w:p w14:paraId="3CCEE3F8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698809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079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图25  移除 Dropout 后的训练结果</w:t>
      </w:r>
    </w:p>
    <w:p w14:paraId="71EB75B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相关操作或实验结果如图26所示。</w:t>
      </w:r>
    </w:p>
    <w:p w14:paraId="3E75EDCF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357172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290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图26  移除 Dropout 后的准确率曲线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相关操作或实验结果如图27所示。</w:t>
      </w:r>
    </w:p>
    <w:p w14:paraId="4F9A5442">
      <w:pPr>
        <w:numPr>
          <w:ilvl w:val="0"/>
          <w:numId w:val="0"/>
        </w:numPr>
        <w:bidi w:val="0"/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603557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4DD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图27  增加第三个卷积层后的训练结果</w:t>
      </w:r>
    </w:p>
    <w:p w14:paraId="69A4A1E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相关操作或实验结果如图28所示。</w:t>
      </w:r>
    </w:p>
    <w:p w14:paraId="65AC3084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536881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4CA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图28  增加第三个卷积层后的准确率曲线</w:t>
      </w:r>
    </w:p>
    <w:p w14:paraId="46BF1C12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宋体"/>
          <w:b/>
          <w:color w:val="000000"/>
          <w:sz w:val="24"/>
        </w:rPr>
        <w:t>6.1 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相关操作或实验结果如图29所示。</w:t>
      </w:r>
    </w:p>
    <w:p w14:paraId="65B77D60">
      <w:pPr>
        <w:pStyle w:val="4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4320000" cy="2256951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69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图29  猫狗识别模型的 PyCharm 运行输出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相关操作或实验结果如图30所示。</w:t>
      </w:r>
    </w:p>
    <w:p>
      <w:pPr>
        <w:jc w:val="center"/>
      </w:pPr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4320000" cy="1775133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751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图30  猫狗识别训练损失与准确率曲线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相关操作或实验结果如图31所示。</w:t>
      </w:r>
    </w:p>
    <w:p>
      <w:pPr>
        <w:jc w:val="center"/>
      </w:pPr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4320000" cy="3747366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473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图31  猫狗识别测试集混淆矩阵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相关操作或实验结果如图32所示。</w:t>
      </w:r>
    </w:p>
    <w:p>
      <w:pPr>
        <w:jc w:val="center"/>
      </w:pPr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4320000" cy="2339164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391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图32  猫狗识别测试集预测样例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6.1.1  实验设置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图29和图30所示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6.1.2  实验结果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图30显示训练损失总体下降，测试准确率虽有阶段性波动，但整体呈上升趋势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6.1.3  混淆矩阵与误分类分析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测试集混淆矩阵如图31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预测样例如图32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猫狗识别实验的主要量化结果见表3。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表3  猫狗识别实验结果汇总</w:t>
      </w:r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实验结果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模型参数量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训练轮数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训练总时间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 s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最佳训练集准确率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88.71%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最佳测试集损失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6.2.1  数据路径配置错误</w:t>
      </w:r>
    </w:p>
    <w:p w14:paraId="338D076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相关操作或实验结果如图33所示。</w:t>
      </w:r>
    </w:p>
    <w:p w14:paraId="604518E0">
      <w:pPr>
        <w:numPr>
          <w:ilvl w:val="0"/>
          <w:numId w:val="0"/>
        </w:numPr>
        <w:bidi w:val="0"/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889655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A81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相关操作或实验结果如图34所示。</w:t>
      </w:r>
    </w:p>
    <w:p w14:paraId="443251A7">
      <w:pPr>
        <w:numPr>
          <w:ilvl w:val="0"/>
          <w:numId w:val="0"/>
        </w:numPr>
        <w:bidi w:val="0"/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859174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D7B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7  VGG16 迁移学习</w:t>
      </w:r>
    </w:p>
    <w:p w14:paraId="2D23B116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7.1  VGG16 运行结果</w:t>
      </w:r>
    </w:p>
    <w:p w14:paraId="094538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相关操作或实验结果如图35所示。</w:t>
      </w:r>
    </w:p>
    <w:p w14:paraId="7EC60258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221714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2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7A5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图35  VGG16迁移学习实验配置与参数</w:t>
      </w:r>
    </w:p>
    <w:p w14:paraId="71DA198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相关操作或实验结果如图36所示。</w:t>
      </w:r>
    </w:p>
    <w:p w14:paraId="4DC2E09C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664587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6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D12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图36  VGG16训练损失与准确率曲线</w:t>
      </w:r>
    </w:p>
    <w:p w14:paraId="70E0CB7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相关操作或实验结果如图37所示。</w:t>
      </w:r>
    </w:p>
    <w:p w14:paraId="73E8B7BC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565000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6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D09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图37  VGG16猫狗识别运行结果</w:t>
      </w:r>
    </w:p>
    <w:p w14:paraId="419A8115">
      <w:pPr>
        <w:keepNext w:val="0"/>
        <w:keepLines w:val="0"/>
        <w:widowControl/>
        <w:suppressLineNumbers w:val="0"/>
      </w:pPr>
      <w:r>
        <w:rPr>
          <w:rFonts w:ascii="Times New Roman" w:hAnsi="Times New Roman" w:eastAsia="宋体"/>
          <w:color w:val="000000"/>
          <w:sz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B1D05">
      <w:pPr>
        <w:pStyle w:val="3"/>
        <w:spacing w:before="120" w:after="120" w:line="240" w:lineRule="auto"/>
        <w:rPr>
          <w:rFonts w:hint="eastAsia"/>
        </w:rPr>
      </w:pPr>
      <w:r>
        <w:rPr>
          <w:rFonts w:ascii="Times New Roman" w:hAnsi="Times New Roman" w:eastAsia="宋体"/>
          <w:b/>
          <w:color w:val="000000"/>
          <w:sz w:val="24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本次实验使用ImageNet预训练VGG16，冻结卷积特征层，将分类头替换为Linear(512, 2)，输入尺寸为96×96。模型总参数量为14,715,714，其中可训练参数量为1,026。使用与第6章普通CNN完全相同的8005张训练图片和2023张测试图片，训练3轮总用时762.84秒。第3轮取得最佳结果：训练集准确率95.20%，测试集准确率95.30%，测试损失0.1180。实验配置、训练曲线和运行结果分别如图35、图36和图37所示。</w:t>
      </w:r>
    </w:p>
    <w:p w14:paraId="078CCC78">
      <w:pPr>
        <w:spacing w:before="80" w:after="12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与第6章普通CNN相比，VGG16测试准确率由88.24%提高到95.30%，提高7.06个百分点；测试损失由0.3025降至0.1180。VGG16虽然只训练3轮，但CPU总训练时间为762.84秒，比普通CNN的431.3秒增加331.54秒。其总参数量约为普通CNN的12.1倍，不过冻结特征层后仅有1,026个分类头参数参与更新。这说明预训练特征显著提高了识别精度，但VGG16前向特征提取仍带来较大的计算开销。</w:t>
      </w:r>
    </w:p>
    <w:p>
      <w:r>
        <w:t>普通CNN与VGG16的量化对比结果见表4。</w:t>
      </w:r>
    </w:p>
    <w:p>
      <w:pPr>
        <w:jc w:val="center"/>
      </w:pPr>
      <w:r>
        <w:t>表4  普通CNN与VGG16迁移学习结果对比</w:t>
      </w:r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总参数量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可训练参数量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训练轮数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训练时间（s）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测试损失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测试准确率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普通CNN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VGG16迁移学习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14,715,714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1,026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762.84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0.1180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95.30%</w:t>
            </w:r>
          </w:p>
        </w:tc>
      </w:tr>
    </w:tbl>
    <w:p w14:paraId="3E47E819">
      <w:pPr>
        <w:pStyle w:val="2"/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  VGG16 特征可视化</w:t>
      </w:r>
    </w:p>
    <w:p w14:paraId="682FB658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8.1  浅层卷积特征图</w:t>
      </w:r>
    </w:p>
    <w:p w14:paraId="4E8966B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对比图</w:t>
      </w:r>
    </w:p>
    <w:p w14:paraId="35EC379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相关操作或实验结果如图38所示。</w:t>
      </w:r>
    </w:p>
    <w:p w14:paraId="60CD9137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3239841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597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图38  VGG16 输入原图</w:t>
      </w:r>
    </w:p>
    <w:p w14:paraId="6D3F3E2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相关操作或实验结果如图39所示。</w:t>
      </w:r>
    </w:p>
    <w:p w14:paraId="634B1584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3239841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FD6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图39  VGG16 浅层卷积特征图</w:t>
      </w:r>
    </w:p>
    <w:p w14:paraId="10F7FBF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相关操作或实验结果如图40所示。</w:t>
      </w:r>
    </w:p>
    <w:p w14:paraId="536051E1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3239841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360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相关操作或实验结果如图41所示。</w:t>
      </w:r>
    </w:p>
    <w:p w14:paraId="38A985F5">
      <w:pPr>
        <w:tabs>
          <w:tab w:val="left" w:pos="3167"/>
        </w:tabs>
        <w:bidi w:val="0"/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3239841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C8C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图41  VGG16 深层特征图（一）</w:t>
      </w:r>
    </w:p>
    <w:p w14:paraId="10ABEC1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相关操作或实验结果如图42所示。</w:t>
      </w:r>
    </w:p>
    <w:p w14:paraId="2401E1AA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3239841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3C77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图42  VGG16 深层特征图（二）</w:t>
      </w:r>
    </w:p>
    <w:p w14:paraId="03203CA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相关操作或实验结果如图43所示。</w:t>
      </w:r>
    </w:p>
    <w:p w14:paraId="5F85473D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3239841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CAA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图43  VGG16 深层特征图（三）</w:t>
      </w:r>
    </w:p>
    <w:p w14:paraId="5BA74E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相关操作或实验结果如图44所示。</w:t>
      </w:r>
    </w:p>
    <w:p w14:paraId="273841DE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3239841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9F4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相关操作或实验结果如图45所示。</w:t>
      </w:r>
    </w:p>
    <w:p w14:paraId="36219094">
      <w:pPr>
        <w:tabs>
          <w:tab w:val="left" w:pos="3167"/>
        </w:tabs>
        <w:bidi w:val="0"/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3239841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F4C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相关操作或实验结果如图46所示。</w:t>
      </w:r>
    </w:p>
    <w:p w14:paraId="7F630716">
      <w:pPr>
        <w:tabs>
          <w:tab w:val="left" w:pos="3167"/>
        </w:tabs>
        <w:bidi w:val="0"/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3239841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FD01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098149C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相关操作或实验结果如图47所示。</w:t>
      </w:r>
    </w:p>
    <w:p w14:paraId="5123D05F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0" distR="0">
            <wp:extent cx="4320000" cy="3239841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1A1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图47  VGG16 类别激活可视化结果</w:t>
      </w:r>
    </w:p>
    <w:p w14:paraId="456C8778">
      <w:pPr>
        <w:pStyle w:val="2"/>
        <w:bidi w:val="0"/>
        <w:spacing w:before="240" w:after="24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  电力负荷预测中的特征工程</w:t>
      </w:r>
    </w:p>
    <w:p w14:paraId="0A400A68">
      <w:pPr>
        <w:rPr>
          <w:rFonts w:hint="eastAsia"/>
          <w:lang w:val="en-US" w:eastAsia="zh-CN"/>
        </w:rPr>
      </w:pPr>
    </w:p>
    <w:p w14:paraId="6B3F2A49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9.1  基线特征模型</w:t>
      </w:r>
    </w:p>
    <w:p w14:paraId="3E4E8C5F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运行代码结果</w:t>
      </w:r>
    </w:p>
    <w:p w14:paraId="26E4C5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相关操作或实验结果如图48所示。</w:t>
      </w:r>
    </w:p>
    <w:p w14:paraId="66D84BB1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129837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094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图48  基线特征模型的预测结果</w:t>
      </w:r>
    </w:p>
    <w:p w14:paraId="40E15CE2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9.2  人工构造滞后与统计特征</w:t>
      </w:r>
    </w:p>
    <w:p w14:paraId="4BE7EBA2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代码运行结果</w:t>
      </w:r>
    </w:p>
    <w:p w14:paraId="547CDF15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相关操作或实验结果如图49所示。</w:t>
      </w:r>
    </w:p>
    <w:p w14:paraId="64DC3D04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798507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AA1C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相关操作或实验结果如图50所示。</w:t>
      </w:r>
    </w:p>
    <w:p w14:paraId="070F91B2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988864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8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769D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基线模型未引入历史负荷特征，仅采用月份、星期、季节、是否周末日历特征，由图48 可得测试集指标：RMSE=1.0341，MAE=0.9522。在保持实验条件一致的前提下，引入滞后负荷、滑动均值、负荷差值等时序特征后，由图49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>
      <w:r>
        <w:rPr>
          <w:rFonts w:ascii="Times New Roman" w:hAnsi="Times New Roman" w:eastAsia="宋体"/>
          <w:color w:val="000000"/>
          <w:sz w:val="24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2F14A903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  问题分析与解决方案</w:t>
      </w:r>
    </w:p>
    <w:p w14:paraId="68D4BAD9">
      <w:pPr>
        <w:pStyle w:val="33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9.3.1  缺少 pandas</w:t>
      </w:r>
    </w:p>
    <w:p w14:paraId="3ABE64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相关操作或实验结果如图51所示。</w:t>
      </w:r>
    </w:p>
    <w:p w14:paraId="28897BD2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840758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4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A3E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图51  缺少 pandas 时的报错信息</w:t>
      </w:r>
    </w:p>
    <w:p w14:paraId="0A602E5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22BE48D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相关操作或实验结果如图52所示。</w:t>
      </w:r>
    </w:p>
    <w:p w14:paraId="1AB44958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539274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3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904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图52  pandas 安装结果</w:t>
      </w:r>
    </w:p>
    <w:p w14:paraId="2E6A2514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9.3.2  缺少 scikit-learn</w:t>
      </w:r>
    </w:p>
    <w:p w14:paraId="43CF512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相关操作或实验结果如图53所示。</w:t>
      </w:r>
    </w:p>
    <w:p w14:paraId="27E0EB4F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850284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106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图53  缺少 scikit-learn 时的报错信息</w:t>
      </w:r>
    </w:p>
    <w:p w14:paraId="07F6D571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4C2EC1BA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相关操作或实验结果如图54所示。</w:t>
      </w:r>
    </w:p>
    <w:p w14:paraId="3CD102B3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3222061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2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FA95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图54  scikit-learn 安装结果</w:t>
      </w:r>
    </w:p>
    <w:p w14:paraId="17E113E6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9.3.3  缺少 openpyxl</w:t>
      </w:r>
    </w:p>
    <w:p w14:paraId="40733F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相关操作或实验结果如图55所示。</w:t>
      </w:r>
    </w:p>
    <w:p w14:paraId="218A8A67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169696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6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C07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图55  缺少 openpyxl 时的报错信息</w:t>
      </w:r>
    </w:p>
    <w:p w14:paraId="35B45A7E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3BC367A1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相关操作或实验结果如图56所示。</w:t>
      </w:r>
    </w:p>
    <w:p w14:paraId="1EDE2672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268758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6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717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相关操作或实验结果如图57所示。</w:t>
      </w:r>
    </w:p>
    <w:p w14:paraId="5A46B80C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159682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5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F6B1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图57  TabNet 特征重要性结果</w:t>
      </w:r>
    </w:p>
    <w:p w14:paraId="4419D39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相关操作或实验结果如图58所示。</w:t>
      </w:r>
    </w:p>
    <w:p w14:paraId="4F1F9117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799630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61AD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图58  TabNet 真实值与预测值对比</w:t>
      </w:r>
    </w:p>
    <w:p w14:paraId="7673D23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相关操作或实验结果如图59所示。</w:t>
      </w:r>
    </w:p>
    <w:p w14:paraId="3E79B4FA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591492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8169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图59  TabNet 参数量及特征重要性数值</w:t>
      </w:r>
    </w:p>
    <w:p w14:paraId="7D9E0DF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相关操作或实验结果如图60所示。</w:t>
      </w:r>
    </w:p>
    <w:p w14:paraId="5BDC3E2A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2402893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B51A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图60  TabNet 测试指标与特征重要性输出</w:t>
      </w:r>
    </w:p>
    <w:p w14:paraId="758B258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11.1  FT-Transformer 电力负荷预测结果</w:t>
      </w:r>
    </w:p>
    <w:p w14:paraId="56DEC1A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相关操作或实验结果如图61所示。</w:t>
      </w:r>
    </w:p>
    <w:p w14:paraId="2868FD7C">
      <w:pPr>
        <w:numPr>
          <w:ilvl w:val="0"/>
          <w:numId w:val="0"/>
        </w:num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460532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61E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图61  FT-Transformer 训练过程</w:t>
      </w:r>
    </w:p>
    <w:p w14:paraId="2ABC36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相关操作或实验结果如图62所示。</w:t>
      </w:r>
    </w:p>
    <w:p w14:paraId="51FE84D1">
      <w:pPr>
        <w:jc w:val="center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4320000" cy="1799630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8B8B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图62  FT-Transformer 真实值与预测值对比</w:t>
      </w:r>
    </w:p>
    <w:p>
      <w:pPr>
        <w:pStyle w:val="3"/>
      </w:pPr>
      <w:r>
        <w:rPr>
          <w:rFonts w:ascii="Times New Roman" w:hAnsi="Times New Roman" w:eastAsia="宋体"/>
          <w:b/>
          <w:color w:val="000000"/>
          <w:sz w:val="24"/>
        </w:rPr>
        <w:t>11.2  统一条件下的模型比较</w:t>
      </w:r>
    </w:p>
    <w:p>
      <w:r>
        <w:rPr>
          <w:rFonts w:ascii="Times New Roman" w:hAnsi="Times New Roman" w:eastAsia="宋体"/>
          <w:color w:val="000000"/>
          <w:sz w:val="24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>
      <w:pPr>
        <w:spacing w:line="360" w:lineRule="auto" w:before="0" w:after="0"/>
        <w:ind w:firstLine="480"/>
      </w:pPr>
      <w:r>
        <w:t>三种电力负荷预测模型的量化结果见表5。</w:t>
      </w:r>
    </w:p>
    <w:p>
      <w:pPr>
        <w:spacing w:line="240" w:lineRule="auto" w:before="60" w:after="120"/>
        <w:jc w:val="center"/>
      </w:pPr>
      <w:r>
        <w:t>表5  MLP、TabNet与FT-Transformer结果对比</w:t>
      </w:r>
    </w:p>
    <w:tbl>
      <w:tblPr>
        <w:tblStyle w:val="15"/>
        <w:tblW w:w="416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2"/>
        <w:gridCol w:w="1302"/>
        <w:gridCol w:w="1616"/>
        <w:gridCol w:w="1220"/>
        <w:gridCol w:w="1263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最佳轮次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训练时间（s）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RMSE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13231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0.2389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0.4071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27140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31.79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0.3267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0.4785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FT-Transformer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599425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96.94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0.2331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0.4061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</w:pPr>
      <w:r>
        <w:t>由表5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4CDF65CB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</w:p>
    <w:p w14:paraId="4CDF337E">
      <w:pPr>
        <w:pStyle w:val="2"/>
        <w:spacing w:before="240" w:after="24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12  AI 辅助使用声明</w:t>
      </w:r>
    </w:p>
    <w:p w14:paraId="02472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p w14:paraId="581DD45D">
      <w:pPr>
        <w:pStyle w:val="2"/>
        <w:spacing w:before="240" w:after="24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13  提交前补充清单（填写完成后删除本节）</w:t>
      </w:r>
    </w:p>
    <w:p w14:paraId="5D848ED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□ 封面学院、专业、学号、姓名均已填写。</w:t>
      </w:r>
    </w:p>
    <w:p w14:paraId="63DADC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所有对照实验均已写出实际准确率、损失或误差指标。</w:t>
      </w:r>
    </w:p>
    <w:p w14:paraId="1CA9CEF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猫狗CNN与VGG16使用同一数据集划分，并已给出参数量、训练时间、损失和准确率。</w:t>
      </w:r>
    </w:p>
    <w:p w14:paraId="2F3861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MLP、TabNet、FT-Transformer已给出参数量、训练时间、MAE、RMSE和R²。</w:t>
      </w:r>
    </w:p>
    <w:p w14:paraId="012868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时间序列数据按时间先后划分，标准化参数仅由训练集拟合，并已修正Delta_1目标泄漏。</w:t>
      </w:r>
    </w:p>
    <w:p w14:paraId="78686D60">
      <w:pPr>
        <w:spacing w:before="80" w:after="120" w:line="300" w:lineRule="auto"/>
      </w:pPr>
      <w:r>
        <w:rPr>
          <w:rFonts w:ascii="Times New Roman" w:hAnsi="Times New Roman" w:eastAsia="宋体"/>
          <w:color w:val="000000"/>
          <w:sz w:val="24"/>
        </w:rPr>
        <w:t>☑ 除封面个人信息外，所有待补充内容均已完成。</w:t>
      </w:r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F9D2C6D"/>
    <w:rsid w:val="17CE7E68"/>
    <w:rsid w:val="1A181B9F"/>
    <w:rsid w:val="280F6544"/>
    <w:rsid w:val="294F3DC5"/>
    <w:rsid w:val="2B362276"/>
    <w:rsid w:val="34B85623"/>
    <w:rsid w:val="436505E5"/>
    <w:rsid w:val="444C059D"/>
    <w:rsid w:val="4F986114"/>
    <w:rsid w:val="5D9E5D76"/>
    <w:rsid w:val="6A7321DD"/>
    <w:rsid w:val="6DF8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numbering" Target="numbering.xml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181</Words>
  <Characters>313</Characters>
  <Lines>3</Lines>
  <Paragraphs>1</Paragraphs>
  <TotalTime>2</TotalTime>
  <ScaleCrop>false</ScaleCrop>
  <LinksUpToDate>false</LinksUpToDate>
  <CharactersWithSpaces>346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2026-10-26T05:36:29Z</dcterms:modified>
  <dc:subject>课程实验结果、问题分析与模型比较</dc:subject>
  <dc:title>《深度学习案例与实践》结课报告（最终完整修订版）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FE4C652105334AE88CE758556CF18B66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