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46E78">
      <w:pPr>
        <w:jc w:val="center"/>
        <w:rPr>
          <w:rFonts w:ascii="Times New Roman" w:hAnsi="Times New Roman" w:cs="Times New Roman"/>
        </w:rPr>
      </w:pPr>
    </w:p>
    <w:p w14:paraId="79F4F161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04296642">
      <w:pPr>
        <w:jc w:val="center"/>
        <w:rPr>
          <w:rFonts w:ascii="Times New Roman" w:hAnsi="Times New Roman" w:eastAsia="华文中宋" w:cs="Times New Roman"/>
          <w:b/>
          <w:sz w:val="72"/>
        </w:rPr>
      </w:pPr>
    </w:p>
    <w:p w14:paraId="326C5F17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555D5C21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72"/>
        </w:rPr>
      </w:pPr>
      <w:r>
        <w:rPr>
          <w:rFonts w:hint="eastAsia"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《深度学习案例与实践》</w:t>
      </w:r>
    </w:p>
    <w:p w14:paraId="230EE91B">
      <w:pPr>
        <w:spacing w:before="0" w:after="0" w:line="240" w:lineRule="auto"/>
        <w:jc w:val="center"/>
        <w:rPr>
          <w:rFonts w:ascii="Times New Roman" w:hAnsi="Times New Roman" w:eastAsia="华文中宋" w:cs="Times New Roman"/>
          <w:b/>
          <w:sz w:val="20"/>
        </w:rPr>
      </w:pPr>
      <w:r>
        <w:rPr>
          <w:rFonts w:ascii="Times New Roman" w:hAnsi="Times New Roman" w:eastAsia="华文中宋" w:cs="Times New Roman"/>
          <w:b w:val="1"/>
          <w:color w:val="000000"/>
          <w:sz w:val="72"/>
          <w:szCs w:val="72"/>
          <w:bCs w:val="1"/>
        </w:rPr>
        <w:t>报告</w:t>
      </w:r>
    </w:p>
    <w:p w14:paraId="0E117FDC">
      <w:pPr>
        <w:jc w:val="center"/>
        <w:rPr>
          <w:rFonts w:hint="eastAsia" w:ascii="Times New Roman" w:hAnsi="Times New Roman" w:eastAsia="华文中宋" w:cs="Times New Roman"/>
          <w:b/>
          <w:sz w:val="72"/>
        </w:rPr>
      </w:pPr>
    </w:p>
    <w:p w14:paraId="04BB83A6">
      <w:pPr>
        <w:rPr>
          <w:rFonts w:ascii="Times New Roman" w:hAnsi="Times New Roman" w:cs="Times New Roman"/>
        </w:rPr>
      </w:pPr>
    </w:p>
    <w:p w14:paraId="28B62516">
      <w:pPr>
        <w:rPr>
          <w:rFonts w:ascii="Times New Roman" w:hAnsi="Times New Roman" w:cs="Times New Roman"/>
        </w:rPr>
      </w:pPr>
    </w:p>
    <w:tbl>
      <w:tblPr>
        <w:tblStyle w:val="15"/>
        <w:tblW w:w="68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2"/>
        <w:gridCol w:w="4767"/>
      </w:tblGrid>
      <w:tr w14:paraId="1B5882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6EB99628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院</w:t>
            </w:r>
          </w:p>
        </w:tc>
        <w:tc>
          <w:tcPr>
            <w:tcW w:w="4767" w:type="dxa"/>
            <w:tcBorders>
              <w:bottom w:val="single" w:color="auto" w:sz="4" w:space="0"/>
            </w:tcBorders>
            <w:vAlign w:val="center"/>
          </w:tcPr>
          <w:p w14:paraId="5848E31F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计算机科学与工程学院</w:t>
            </w:r>
          </w:p>
        </w:tc>
      </w:tr>
      <w:tr w14:paraId="3B6AFA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2052" w:type="dxa"/>
            <w:vAlign w:val="center"/>
          </w:tcPr>
          <w:p w14:paraId="2D86A3CF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专    业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1AF973C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通信工程</w:t>
            </w:r>
          </w:p>
        </w:tc>
      </w:tr>
      <w:tr w14:paraId="4B3DE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2052" w:type="dxa"/>
            <w:vAlign w:val="center"/>
          </w:tcPr>
          <w:p w14:paraId="0087EF54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学    号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8FD43A">
            <w:pPr>
              <w:spacing w:line="240" w:lineRule="auto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2672578</w:t>
            </w:r>
          </w:p>
        </w:tc>
      </w:tr>
      <w:tr w14:paraId="719C5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052" w:type="dxa"/>
            <w:vAlign w:val="center"/>
          </w:tcPr>
          <w:p w14:paraId="20CA4AAA">
            <w:pPr>
              <w:spacing w:before="0" w:after="0" w:line="240" w:lineRule="auto"/>
              <w:jc w:val="center"/>
              <w:rPr>
                <w:rFonts w:ascii="Times New Roman" w:hAnsi="Times New Roman" w:eastAsia="黑体" w:cs="Times New Roman"/>
                <w:kern w:val="10"/>
                <w:sz w:val="30"/>
              </w:rPr>
            </w:pPr>
            <w:r>
              <w:rPr>
                <w:rFonts w:ascii="Times New Roman" w:hAnsi="Times New Roman" w:eastAsia="黑体" w:cs="Times New Roman"/>
                <w:b w:val="0"/>
                <w:kern w:val="10"/>
                <w:sz w:val="30"/>
                <w:szCs w:val="30"/>
                <w:bCs w:val="0"/>
              </w:rPr>
              <w:t>姓    名</w:t>
            </w:r>
          </w:p>
        </w:tc>
        <w:tc>
          <w:tcPr>
            <w:tcW w:w="4767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81991AE">
            <w:pPr>
              <w:spacing w:line="24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ascii="Times New Roman" w:hAnsi="Times New Roman" w:cs="Times New Roman" w:eastAsia="宋体"/>
                <w:lang w:val="en-US" w:eastAsia="zh-CN"/>
                <w:sz w:val="30"/>
                <w:szCs w:val="30"/>
                <w:b w:val="0"/>
                <w:bCs w:val="0"/>
              </w:rPr>
              <w:t>付镇远</w:t>
            </w:r>
          </w:p>
        </w:tc>
      </w:tr>
    </w:tbl>
    <w:p w14:paraId="3292E7E4">
      <w:pPr>
        <w:spacing w:line="600" w:lineRule="exact"/>
        <w:jc w:val="center"/>
        <w:rPr>
          <w:rFonts w:ascii="Times New Roman" w:hAnsi="Times New Roman" w:eastAsia="黑体" w:cs="Times New Roman"/>
          <w:spacing w:val="22"/>
          <w:kern w:val="10"/>
          <w:sz w:val="30"/>
        </w:rPr>
      </w:pPr>
    </w:p>
    <w:p w14:paraId="03E6DFE5">
      <w:pPr>
        <w:widowControl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18"/>
        </w:rPr>
        <w:br w:type="page"/>
      </w:r>
    </w:p>
    <w:p w14:paraId="75235A59">
      <w:pPr>
        <w:pStyle w:val="2"/>
        <w:spacing w:before="340" w:after="33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  Anaconda 下载与环境配置</w:t>
      </w:r>
    </w:p>
    <w:p w14:paraId="07A0EBB3">
      <w:pPr>
        <w:pStyle w:val="3"/>
        <w:spacing w:before="260" w:after="26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1.1  下载页面</w:t>
      </w:r>
    </w:p>
    <w:p w14:paraId="014510E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31E63A7">
      <w:pPr>
        <w:keepNext w:val="1"/>
        <w:keepLines/>
        <w:spacing w:before="60" w:after="40" w:line="240" w:lineRule="auto"/>
        <w:jc w:val="center"/>
      </w:pPr>
      <w:bookmarkStart w:id="1001" w:name="Figure_1"/>
      <w:bookmarkStart w:id="0" w:name="Figure_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564475"/>
            <wp:effectExtent l="0" t="0" r="127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6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001"/>
    </w:p>
    <w:p w14:paraId="66DACDE6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  Anaconda 官方下载页面</w:t>
      </w:r>
    </w:p>
    <w:p w14:paraId="7079FCF6">
      <w:pPr>
        <w:pStyle w:val="13"/>
        <w:keepLines w:val="0"/>
        <w:widowControl/>
        <w:suppressLineNumbers w:val="0"/>
        <w:spacing w:before="0" w:after="0" w:line="360" w:lineRule="auto"/>
        <w:ind w:right="720"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不要点绿色</w:t>
      </w:r>
      <w:r>
        <w:rPr>
          <w:rStyle w:val="21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Get Started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，那个会要求注册账号。直接用</w:t>
      </w:r>
      <w:r>
        <w:rPr>
          <w:rStyle w:val="18"/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Skip Registration 跳过注册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，绕开登录即可下载安装包。</w:t>
      </w:r>
    </w:p>
    <w:p w14:paraId="7DB6569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3.官网下载慢，用清华的镜像网站</w:t>
      </w:r>
    </w:p>
    <w:p w14:paraId="31F42B9B">
      <w:p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instrText xml:space="preserve"> HYPERLINK "https://mirrors.tuna.tsinghua.edu.cn/anaconda/archive/" </w:instrTex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separate"/>
      </w:r>
      <w:r>
        <w:rPr>
          <w:rStyle w:val="20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https://mirrors.tuna.tsinghua.edu.cn/anaconda/archive/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找到最新版本的 Anaconda3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xxx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Windows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noBreakHyphen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x86_64.exe 下载。</w:t>
      </w:r>
    </w:p>
    <w:p w14:paraId="5A933CC6">
      <w:p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4.</w:t>
      </w:r>
    </w:p>
    <w:p w14:paraId="7DEBC6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FCC7614">
      <w:pPr>
        <w:keepNext w:val="1"/>
        <w:keepLines/>
        <w:spacing w:before="60" w:after="40" w:line="240" w:lineRule="auto"/>
        <w:jc w:val="center"/>
      </w:pPr>
      <w:bookmarkStart w:id="1002" w:name="Figure_2"/>
      <w:bookmarkStart w:id="1" w:name="Figure_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362520"/>
            <wp:effectExtent l="0" t="0" r="444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1002"/>
    </w:p>
    <w:p w14:paraId="31143EAA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  Anaconda 发行版选择页面</w:t>
      </w:r>
    </w:p>
    <w:p w14:paraId="4A0E0269">
      <w:p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选择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Anaconda Distribution</w:t>
      </w: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这个</w:t>
      </w:r>
    </w:p>
    <w:p w14:paraId="081DD1BE">
      <w:pPr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5.检验是否安装</w:t>
      </w:r>
    </w:p>
    <w:p w14:paraId="147A5078">
      <w:pPr>
        <w:spacing w:before="0" w:after="0" w:line="360" w:lineRule="auto"/>
        <w:ind w:firstLine="480"/>
        <w:jc w:val="both"/>
        <w:rPr>
          <w:rFonts w:hint="default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输入win+R，控制面板内输入conda出现下图所示，说明安装成</w:t>
      </w:r>
    </w:p>
    <w:p w14:paraId="2AE3A1A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0318F5A">
      <w:pPr>
        <w:keepNext w:val="1"/>
        <w:keepLines/>
        <w:spacing w:before="60" w:after="40" w:line="240" w:lineRule="auto"/>
        <w:jc w:val="center"/>
      </w:pPr>
      <w:bookmarkStart w:id="1003" w:name="Figure_3"/>
      <w:bookmarkStart w:id="2" w:name="Figure_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691854"/>
            <wp:effectExtent l="0" t="0" r="127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1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"/>
      <w:bookmarkEnd w:id="1003"/>
    </w:p>
    <w:p w14:paraId="2F2394B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  Conda 命令检验</w:t>
      </w:r>
    </w:p>
    <w:p w14:paraId="6B36B0C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2B81B27">
      <w:pPr>
        <w:keepNext w:val="1"/>
        <w:keepLines/>
        <w:spacing w:before="60" w:after="40" w:line="240" w:lineRule="auto"/>
        <w:jc w:val="center"/>
      </w:pPr>
      <w:bookmarkStart w:id="1004" w:name="Figure_4"/>
      <w:bookmarkStart w:id="3" w:name="Figure_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679879"/>
            <wp:effectExtent l="0" t="0" r="5715" b="1206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79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  <w:bookmarkEnd w:id="1004"/>
    </w:p>
    <w:p w14:paraId="56BAEAA5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  Conda 环境信息输出结果</w:t>
      </w:r>
    </w:p>
    <w:p w14:paraId="21DFE247">
      <w:pPr>
        <w:pStyle w:val="2"/>
        <w:numPr>
          <w:ilvl w:val="0"/>
          <w:numId w:val="0"/>
        </w:numPr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2  CPU 版 PyTorch 安装与张量测试</w:t>
      </w:r>
    </w:p>
    <w:p w14:paraId="56B3E40F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1.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打开Anaconda Prompt</w:t>
      </w:r>
    </w:p>
    <w:p w14:paraId="4D65C1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050A78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5" w:name="Figure_5"/>
      <w:bookmarkStart w:id="4" w:name="Figure_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547076"/>
            <wp:effectExtent l="0" t="0" r="7620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4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"/>
      <w:bookmarkEnd w:id="1005"/>
    </w:p>
    <w:p w14:paraId="54F8E83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  Anaconda Prompt 界面</w:t>
      </w:r>
    </w:p>
    <w:p w14:paraId="28664ACD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2.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输入指令conda create -n pytorch Python=3.12.7</w:t>
      </w:r>
    </w:p>
    <w:p w14:paraId="2DC9D61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28E0DE0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6" w:name="Figure_6"/>
      <w:bookmarkStart w:id="5" w:name="Figure_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389737"/>
            <wp:effectExtent l="0" t="0" r="13970" b="889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8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  <w:bookmarkEnd w:id="1006"/>
    </w:p>
    <w:p w14:paraId="48314FB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  PyTorch 虚拟环境创建结果</w:t>
      </w:r>
    </w:p>
    <w:p w14:paraId="3A2D8446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安装成功</w:t>
      </w:r>
    </w:p>
    <w:p w14:paraId="7803CEFC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3.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激活虚拟环境</w:t>
      </w:r>
    </w:p>
    <w:p w14:paraId="5A8B83A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BE664E7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7" w:name="Figure_7"/>
      <w:bookmarkStart w:id="6" w:name="Figure_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612943"/>
            <wp:effectExtent l="0" t="0" r="7620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12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"/>
      <w:bookmarkEnd w:id="1007"/>
    </w:p>
    <w:p w14:paraId="3E42EAE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图7  PyTorch 虚拟环境激活结果</w:t>
      </w:r>
    </w:p>
    <w:p w14:paraId="34E692D0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成功激活虚拟环境</w:t>
      </w:r>
    </w:p>
    <w:p w14:paraId="628E5249">
      <w:pPr>
        <w:numPr>
          <w:ilvl w:val="0"/>
          <w:numId w:val="0"/>
        </w:numPr>
        <w:spacing w:before="0" w:after="0" w:line="360" w:lineRule="auto"/>
        <w:ind w:left="0" w:leftChars="0" w:firstLine="48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 w:ascii="Times New Roman" w:hAnsi="Times New Roman" w:cs="Times New Roman" w:eastAsia="宋体"/>
          <w:color w:val="000000"/>
          <w:kern w:val="2"/>
          <w:sz w:val="24"/>
          <w:szCs w:val="24"/>
          <w:lang w:val="en-US" w:eastAsia="zh-CN" w:bidi="ar-SA"/>
          <w:b w:val="0"/>
          <w:bCs w:val="0"/>
        </w:rPr>
        <w:t>4.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在 pytorch环境下，安装 CPU 版 PyTorch</w:t>
      </w:r>
    </w:p>
    <w:p w14:paraId="231F1EF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22E8ED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08" w:name="Figure_8"/>
      <w:bookmarkStart w:id="7" w:name="Figure_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688044"/>
            <wp:effectExtent l="0" t="0" r="3175" b="1270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8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  <w:bookmarkEnd w:id="1008"/>
    </w:p>
    <w:p w14:paraId="5E2EF31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图8  CPU 版 PyTorch 安装结果</w:t>
      </w:r>
    </w:p>
    <w:p w14:paraId="41C1F7EA">
      <w:pPr>
        <w:numPr>
          <w:ilvl w:val="0"/>
          <w:numId w:val="1"/>
        </w:numPr>
        <w:bidi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打印一个张量</w:t>
      </w:r>
    </w:p>
    <w:p w14:paraId="7F66FC8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5EA19C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hint="default"/>
          <w:lang w:val="en-US" w:eastAsia="zh-CN"/>
        </w:rPr>
      </w:pPr>
      <w:bookmarkStart w:id="1009" w:name="Figure_9"/>
      <w:bookmarkStart w:id="8" w:name="Figure_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133870"/>
            <wp:effectExtent l="0" t="0" r="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3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1009"/>
    </w:p>
    <w:p w14:paraId="5671A43E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图9  PyTorch 张量创建与输出结果</w:t>
      </w:r>
    </w:p>
    <w:p w14:paraId="7E82BB43">
      <w:pPr>
        <w:pStyle w:val="2"/>
        <w:numPr>
          <w:ilvl w:val="0"/>
          <w:numId w:val="0"/>
        </w:numPr>
        <w:spacing w:before="340" w:after="330" w:line="240" w:lineRule="auto"/>
        <w:ind w:left="0" w:leftChars="0" w:firstLine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3  全连接网络手写数字识别</w:t>
      </w:r>
    </w:p>
    <w:p w14:paraId="4A37764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3.1  基线模型运行结果</w:t>
      </w:r>
    </w:p>
    <w:p w14:paraId="709E301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07B9635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0" w:name="Figure_10"/>
      <w:bookmarkStart w:id="9" w:name="Figure_1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588971"/>
            <wp:effectExtent l="0" t="0" r="3810" b="1143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88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"/>
      <w:bookmarkEnd w:id="1010"/>
    </w:p>
    <w:p w14:paraId="16C5A77A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图10  全连接网络基线训练过程</w:t>
      </w:r>
    </w:p>
    <w:p w14:paraId="1BD3052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CF9D2D5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1" w:name="Figure_11"/>
      <w:bookmarkStart w:id="10" w:name="Figure_1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82540"/>
            <wp:effectExtent l="0" t="0" r="6350" b="8890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011"/>
    </w:p>
    <w:p w14:paraId="15BC6C36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图11  全连接网络基线准确率曲线</w:t>
      </w:r>
    </w:p>
    <w:p w14:paraId="007D305F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3.2  隐藏层宽度调整</w:t>
      </w:r>
    </w:p>
    <w:p w14:paraId="7ECFE412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将隐藏层从128改为256，观察准确率变化</w:t>
      </w:r>
    </w:p>
    <w:p w14:paraId="1D37D5A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将这几段代码的128改为256，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对比之前 128 神经元的准确率：</w:t>
      </w:r>
    </w:p>
    <w:p w14:paraId="748AFB17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将隐藏层由 128 个神经元增至 256 个后，参数量和模型容量均增加。结合本次运行结果进行比较，训练拟合能力有所增强；测试准确率是否提升仍取决于随机初始化、训练轮数和正则化设置，不能仅凭网络变宽推断必然改善。</w:t>
      </w:r>
    </w:p>
    <w:p w14:paraId="52A21BC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C3619C7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12" w:name="Figure_12"/>
      <w:bookmarkStart w:id="11" w:name="Figure_1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370161"/>
            <wp:effectExtent l="0" t="0" r="5080" b="635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7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1"/>
      <w:bookmarkEnd w:id="1012"/>
    </w:p>
    <w:p w14:paraId="6AE9CE4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图12  隐藏层宽度调整代码</w:t>
      </w:r>
    </w:p>
    <w:p w14:paraId="7E4AD3F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CBE3A1A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3" w:name="Figure_13"/>
      <w:bookmarkStart w:id="12" w:name="Figure_1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16129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1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2"/>
      <w:bookmarkEnd w:id="1013"/>
    </w:p>
    <w:p w14:paraId="41968C67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图13  隐藏层宽度调整后的训练结果</w:t>
      </w:r>
    </w:p>
    <w:p w14:paraId="502228B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648FEFF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14" w:name="Figure_14"/>
      <w:bookmarkStart w:id="13" w:name="Figure_1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036975"/>
            <wp:effectExtent l="0" t="0" r="5080" b="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3"/>
      <w:bookmarkEnd w:id="1014"/>
    </w:p>
    <w:p w14:paraId="7948346B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图14  隐藏层宽度调整后的准确率曲线</w:t>
      </w:r>
    </w:p>
    <w:p w14:paraId="4EC4839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隐藏层宽度实验的量化结果见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02BF8D04">
      <w:pPr>
        <w:spacing w:before="0" w:after="120" w:line="240" w:lineRule="auto"/>
        <w:jc w:val="center"/>
      </w:pPr>
      <w:bookmarkStart w:id="2001" w:name="Table_1"/>
      <w:bookmarkStart w:id="14" w:name="Table_1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表1  隐藏层宽度对准确率和损失的影响</w:t>
      </w:r>
      <w:bookmarkEnd w:id="14"/>
      <w:bookmarkEnd w:id="2001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2051"/>
        <w:gridCol w:w="2051"/>
        <w:gridCol w:w="1826"/>
        <w:gridCol w:w="1826"/>
      </w:tblGrid>
      <w:tr w14:paraId="36EBF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3A2A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隐藏层神经元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0233B6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5051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1720B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训练集最终损失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2A98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测试集最终损失</w:t>
            </w:r>
          </w:p>
        </w:tc>
      </w:tr>
      <w:tr w14:paraId="7B4216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0D4049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128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0087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98.72%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A1ECB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9168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0.0268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6F532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0.0313</w:t>
            </w:r>
          </w:p>
        </w:tc>
      </w:tr>
      <w:tr w14:paraId="0FE95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FB03F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256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A69EE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99.01%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20A1D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97.90%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2B5C5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0.0199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C52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0.0284</w:t>
            </w:r>
          </w:p>
        </w:tc>
      </w:tr>
    </w:tbl>
    <w:p w14:paraId="7D117D94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将隐藏层神经元数量由 128 修改为 256，本实验组严格控制变量，</w:t>
      </w:r>
      <w:r>
        <w:rPr>
          <w:rStyle w:val="18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数据集划分方式、训练迭代轮数、优化器、学习率、随机种子全部保持一致，仅修改隐藏层神经元个数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，消除其他因素对实验结果带来的干扰，实验结果如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AAA7FFB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可以看出，隐藏层神经元从 128 增加到 256 后，训练集准确率由 98.72% 提升至 99.01%，训练损失由 0.0268 降低至 0.0199；测试集准确率由 97.37% 提升至 97.90%，测试损失由 0.0313 降低至 0.0284。增大隐藏层神经元数量扩大了模型容量，模型学习特征的能力变强，在 MNIST 手写数字识别任务上训练、测试指标均有小幅提升。 但需要注意，神经元数量不是越大性能就一定越好。当任务复杂度升高、数据集样本有限时，一味增大神经元数目，会出现训练集效果持续变好，但测试集性能下降的过拟合现象。</w:t>
      </w:r>
    </w:p>
    <w:p w14:paraId="453A8A57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3.3  优化器对比</w:t>
      </w:r>
    </w:p>
    <w:p w14:paraId="60E488A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将Adam替换成SGD观察收敛速度</w:t>
      </w:r>
    </w:p>
    <w:p w14:paraId="0E212DEA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在学习率等设置保持一致的本次实验中，Adam 前期准确率提升更快；SGD 的收敛较缓慢。该结果与优化器的自适应学习率机制有关，但公平比较还应分别调节学习率并重复多次实验。</w:t>
      </w:r>
    </w:p>
    <w:p w14:paraId="17E4CDC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BDAF13">
      <w:pPr>
        <w:keepNext w:val="1"/>
        <w:keepLines/>
        <w:spacing w:before="60" w:after="40" w:line="240" w:lineRule="auto"/>
        <w:jc w:val="center"/>
      </w:pPr>
      <w:bookmarkStart w:id="1015" w:name="Figure_15"/>
      <w:bookmarkStart w:id="15" w:name="Figure_1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223145"/>
            <wp:effectExtent l="0" t="0" r="889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2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  <w:bookmarkEnd w:id="1015"/>
    </w:p>
    <w:p w14:paraId="722BD316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图15  Adam 优化器训练结果</w:t>
      </w:r>
    </w:p>
    <w:p w14:paraId="1ECEF5D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8CE5F48">
      <w:pPr>
        <w:keepNext w:val="1"/>
        <w:keepLines/>
        <w:spacing w:before="60" w:after="40" w:line="240" w:lineRule="auto"/>
        <w:jc w:val="center"/>
      </w:pPr>
      <w:bookmarkStart w:id="1016" w:name="Figure_16"/>
      <w:bookmarkStart w:id="16" w:name="Figure_1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323850"/>
            <wp:effectExtent l="0" t="0" r="571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  <w:bookmarkEnd w:id="1016"/>
    </w:p>
    <w:p w14:paraId="2DB721E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图16  SGD 优化器训练结果</w:t>
      </w:r>
    </w:p>
    <w:p w14:paraId="3AF04650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本实验将优化器由 Adam 替换为 SGD，严格控制变量：数据集划分方式、网络结构、隐藏层神经元数量、最大训练轮数、随机种子保持一致，仅改变优化器类型与适配学习率。其中 Adam 学习率设置为 0.001，SGD 学习率设置为 0.01。SGD 优化器训练日志如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所示，两种优化器量化对比结果如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所示。</w:t>
      </w:r>
    </w:p>
    <w:p w14:paraId="3BF1D1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Adam与SGD优化器的量化对比结果见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4E98553A">
      <w:pPr>
        <w:spacing w:before="0" w:after="120" w:line="240" w:lineRule="auto"/>
        <w:jc w:val="center"/>
      </w:pPr>
      <w:bookmarkStart w:id="2002" w:name="Table_2"/>
      <w:bookmarkStart w:id="17" w:name="Table_2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表2  Adam与SGD优化器对比</w:t>
      </w:r>
      <w:bookmarkEnd w:id="17"/>
      <w:bookmarkEnd w:id="2002"/>
    </w:p>
    <w:tbl>
      <w:tblPr>
        <w:tblStyle w:val="15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6"/>
        <w:gridCol w:w="896"/>
        <w:gridCol w:w="3488"/>
        <w:gridCol w:w="1978"/>
        <w:gridCol w:w="2097"/>
      </w:tblGrid>
      <w:tr w14:paraId="582BB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6E92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优化器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C16271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学习率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70D4A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达到 97% 测试准确率所需 epoch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34953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最终测试集准确率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E2DE4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1"/>
                <w:bCs w:val="1"/>
                <w:kern w:val="0"/>
                <w:sz w:val="21"/>
                <w:szCs w:val="21"/>
                <w:lang w:val="en-US" w:eastAsia="zh-CN" w:bidi="ar"/>
              </w:rPr>
              <w:t>5 轮训练总耗时 (s)</w:t>
            </w:r>
          </w:p>
        </w:tc>
      </w:tr>
      <w:tr w14:paraId="04C81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8D9C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Adam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51C448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99A97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7F214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97.37%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67258B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28</w:t>
            </w:r>
          </w:p>
        </w:tc>
      </w:tr>
      <w:tr w14:paraId="2837A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A53C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SGD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64081F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0.01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219EC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1CCA52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97.12%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1636A">
            <w:pPr>
              <w:keepNext w:val="0"/>
              <w:keepLines w:val="0"/>
              <w:widowControl/>
              <w:suppressLineNumbers w:val="0"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kern w:val="0"/>
                <w:sz w:val="21"/>
                <w:szCs w:val="21"/>
                <w:lang w:val="en-US" w:eastAsia="zh-CN" w:bidi="ar"/>
                <w:bCs w:val="0"/>
              </w:rPr>
              <w:t>27</w:t>
            </w:r>
          </w:p>
        </w:tc>
      </w:tr>
    </w:tbl>
    <w:p w14:paraId="1C43734A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表注：硬件环境为 CPU，最大训练轮数设置为 5，网络隐藏层神经元数量为 128，随机种子固定，数据集划分完全一致。</w:t>
      </w:r>
    </w:p>
    <w:p w14:paraId="28BC992E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可见，SGD 初始损失为 2.3464，损失整体下降趋势平缓，下降速度慢于 Adam。结合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分析：在收敛速度方面，Adam 仅需要 2 个 epoch 测试准确率即可达到 97%，而 SGD 训练至 5 轮结束才接近该精度，收敛速度明显更慢。Adam 融合一阶动量与二阶动量，具备自适应学习率特性，参数更新效率更高；SGD 仅依靠梯度信息更新参数，缺少自适应调节机制，收敛更平缓。在最终测试准确率上，5 轮训练结束后 Adam 测试准确率为 97.37%，SGD 为 97.12%，SGD 精度略低，说明在同等轮次限制下 SGD 无法充分收敛；若继续增加训练轮次，SGD 仍有机会逼近 Adam 的精度。在训练耗时上，二者单轮计算量接近，总耗时差距不大，但 SGD 需要更多迭代轮次才能达到同等精度，收敛效率更低。综上，Adam 收敛速度更快，可在较少轮次下取得理想精度；SGD 收敛缓慢，需要搭配更大的学习率以及更多训练轮次，才能够获得相近的泛化效果。</w:t>
      </w:r>
    </w:p>
    <w:p w14:paraId="2FC2CC0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3.4  问题分析与解决方案</w:t>
      </w:r>
    </w:p>
    <w:p w14:paraId="2EB065BD">
      <w:pPr>
        <w:pStyle w:val="33"/>
        <w:numPr>
          <w:ilvl w:val="0"/>
          <w:numId w:val="0"/>
        </w:numPr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3.4.1  缺少绘图库</w:t>
      </w:r>
    </w:p>
    <w:p w14:paraId="1104329E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Conda 环境缺少 matplotlib 库，绘图语句因而无法执行。</w:t>
      </w:r>
    </w:p>
    <w:p w14:paraId="147E6E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BD99C13">
      <w:pPr>
        <w:keepNext w:val="1"/>
        <w:keepLines/>
        <w:spacing w:before="60" w:after="40" w:line="240" w:lineRule="auto"/>
        <w:jc w:val="center"/>
      </w:pPr>
      <w:bookmarkStart w:id="1017" w:name="Figure_17"/>
      <w:bookmarkStart w:id="18" w:name="Figure_1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529657"/>
            <wp:effectExtent l="0" t="0" r="10795" b="508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2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"/>
      <w:bookmarkEnd w:id="1017"/>
    </w:p>
    <w:p w14:paraId="207C2532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图17  缺少绘图库时的报错信息</w:t>
      </w:r>
    </w:p>
    <w:p w14:paraId="60BAD55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3C1B31D7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打开 Anaconda Prompt：</w:t>
      </w:r>
    </w:p>
    <w:p w14:paraId="53E56FA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conda activate pytorch</w:t>
      </w:r>
    </w:p>
    <w:p w14:paraId="01F666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Style w:val="21"/>
          <w:rFonts w:hint="default" w:ascii="Consolas" w:hAnsi="Consolas" w:eastAsia="Consolas" w:cs="Consolas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pip install matplotlib -i https://pypi.tuna.tsinghua.edu.cn/simple</w:t>
      </w:r>
    </w:p>
    <w:p w14:paraId="7BD4B2C9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激活正确环境后安装 matplotlib，即可恢复绘图功能。</w:t>
      </w:r>
    </w:p>
    <w:p w14:paraId="6283C270">
      <w:pPr>
        <w:pStyle w:val="33"/>
        <w:keepLines w:val="0"/>
        <w:widowControl/>
        <w:suppressLineNumbers w:val="0"/>
        <w:spacing w:before="120" w:after="120" w:line="240" w:lineRule="auto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3.4.2  数据保存路径错误</w:t>
      </w:r>
    </w:p>
    <w:p w14:paraId="3E52B284">
      <w:p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代码中写死了其他用户的目录 C:\Users\think，当前账户无法在该路径创建文件，因此出现路径不存在或权限被拒绝的错误。</w:t>
      </w:r>
    </w:p>
    <w:p w14:paraId="340D41C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A95C7C">
      <w:pPr>
        <w:keepNext w:val="1"/>
        <w:keepLines/>
        <w:spacing w:before="60" w:after="40" w:line="240" w:lineRule="auto"/>
        <w:jc w:val="center"/>
      </w:pPr>
      <w:bookmarkStart w:id="1018" w:name="Figure_18"/>
      <w:bookmarkStart w:id="19" w:name="Figure_1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046794"/>
            <wp:effectExtent l="0" t="0" r="13970" b="444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4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9"/>
      <w:bookmarkEnd w:id="1018"/>
    </w:p>
    <w:p w14:paraId="790FC82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图18  数据路径不匹配导致的报错信息</w:t>
      </w:r>
    </w:p>
    <w:p w14:paraId="06193231">
      <w:pPr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解决方法</w:t>
      </w:r>
    </w:p>
    <w:p w14:paraId="77672D44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ascii="Consolas" w:hAnsi="Consolas" w:eastAsia="Consolas" w:cs="Consolas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将路径改成</w:t>
      </w:r>
      <w:r>
        <w:rPr>
          <w:rStyle w:val="21"/>
          <w:rFonts w:hint="default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local_data_path = r"C:\Users\付镇远\PycharmProjects\PythonProject\DL_data"</w:t>
      </w:r>
    </w:p>
    <w:p w14:paraId="5E9EAC52">
      <w:pPr>
        <w:bidi w:val="0"/>
        <w:spacing w:before="0" w:after="0"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  <w:b w:val="0"/>
          <w:bCs w:val="0"/>
        </w:rPr>
        <w:t>即可解决</w:t>
      </w:r>
    </w:p>
    <w:p w14:paraId="0F2ADA8B">
      <w:pPr>
        <w:pStyle w:val="2"/>
        <w:numPr>
          <w:ilvl w:val="0"/>
          <w:numId w:val="2"/>
        </w:numPr>
        <w:spacing w:before="340" w:after="330" w:line="240" w:lineRule="auto"/>
        <w:ind w:leftChars="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4  检查点保存与继续训练</w:t>
      </w:r>
    </w:p>
    <w:p w14:paraId="7BF8AFE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4.1  连续训练的基线结果</w:t>
      </w:r>
    </w:p>
    <w:p w14:paraId="57783EB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"Figure_19"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1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图19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90C35A4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19" w:name="Figure_19"/>
      <w:bookmarkStart w:id="20" w:name="Figure_1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020665"/>
            <wp:effectExtent l="0" t="0" r="10795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2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bookmarkEnd w:id="1019"/>
    </w:p>
    <w:p w14:paraId="7B858F7C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图19  连续训练的基线结果</w:t>
      </w:r>
    </w:p>
    <w:p w14:paraId="08D14361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4.2  从检查点恢复训练的结果</w:t>
      </w:r>
    </w:p>
    <w:p w14:paraId="123826D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05636F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0" w:name="Figure_20"/>
      <w:bookmarkStart w:id="21" w:name="Figure_2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069657"/>
            <wp:effectExtent l="0" t="0" r="5080" b="4445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1"/>
      <w:bookmarkEnd w:id="1020"/>
    </w:p>
    <w:p w14:paraId="689106A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图20  从检查点恢复训练的运行结果</w:t>
      </w:r>
    </w:p>
    <w:p w14:paraId="6C18C7D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本实验的 checkpoint 检查点文件内同时保存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以及 epoch 信息。其中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model_state_dict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存储模型权重参数，</w:t>
      </w: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optimizer_state_dict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存储优化器内部状态，epoch 记录当前训练轮次，保证恢复训练时模型、优化器状态与训练进度完整承接。 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0" w:history="1">
        <w:r>
          <w:rPr>
            <w:rFonts w:ascii="Times New Roman" w:hAnsi="Times New Roman" w:eastAsia="宋体" w:cs="Times New Roman"/>
            <w:color w:val="0563C1"/>
            <w:sz w:val="24"/>
            <w:szCs w:val="24"/>
            <w:u w:val="single"/>
            <w:b w:val="0"/>
            <w:bCs w:val="0"/>
          </w:rPr>
          <w:t>图 20</w:t>
        </w:r>
      </w:hyperlink>
      <w:r>
        <w:rPr>
          <w:rFonts w:ascii="Times New Roman" w:hAnsi="Times New Roman" w:eastAsia="宋体" w:cs="Times New Roman"/>
          <w:color w:val="0563C1"/>
          <w:sz w:val="24"/>
          <w:szCs w:val="24"/>
          <w:u w:val="single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可知，第 5 轮训练结束保存断点时，损失为 178.4466；加载该断点恢复后，第 6 轮损失会在 178.4466 基础上继续下降，不会跳回首轮 544.2715 的初始损失。损失平滑连续下降，不存在从头训练时的损失跳变，证明训练是从断点位置接续执行，而不是参数初始化后重新开始训练。若仅保存模型权重、不保存优化器状态，带动量的优化器将丢失动量信息，续训的收敛特性会发生改变。</w:t>
      </w:r>
    </w:p>
    <w:p w14:paraId="23BEC59A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5  CNN 手写数字识别</w:t>
      </w:r>
    </w:p>
    <w:p w14:paraId="77CB24A2">
      <w:pPr>
        <w:pStyle w:val="3"/>
        <w:spacing w:before="260" w:after="26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5.1  CNN 运行结果</w:t>
      </w:r>
    </w:p>
    <w:p w14:paraId="1560EF3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7BB4857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1" w:name="Figure_21"/>
      <w:bookmarkStart w:id="22" w:name="Figure_2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158911"/>
            <wp:effectExtent l="0" t="0" r="8255" b="7620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158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2"/>
      <w:bookmarkEnd w:id="1021"/>
    </w:p>
    <w:p w14:paraId="4EC5E49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图21  CNN 手写数字识别训练结果</w:t>
      </w:r>
    </w:p>
    <w:p w14:paraId="04D471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0155732">
      <w:pPr>
        <w:keepNext w:val="1"/>
        <w:keepLines/>
        <w:spacing w:before="60" w:after="40" w:line="240" w:lineRule="auto"/>
        <w:jc w:val="center"/>
      </w:pPr>
      <w:bookmarkStart w:id="1022" w:name="Figure_22"/>
      <w:bookmarkStart w:id="23" w:name="Figure_2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856794"/>
            <wp:effectExtent l="0" t="0" r="952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5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3"/>
      <w:bookmarkEnd w:id="1022"/>
    </w:p>
    <w:p w14:paraId="6A7B28D2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图22  CNN 手写数字识别准确率曲线</w:t>
      </w:r>
    </w:p>
    <w:p w14:paraId="547E250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 w:eastAsia="宋体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5.2  课堂练习分析</w:t>
      </w:r>
    </w:p>
    <w:p w14:paraId="4C44AF1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5.2.1  哪些语句实现图像张量化？</w:t>
      </w:r>
    </w:p>
    <w:p w14:paraId="22A5DFA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Style w:val="21"/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transforms.ToTensor()</w:t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实现将图像转化为张量，它会把图片转为张量，像素值从 0~255 缩放到 0~1，同时调整维度顺序，适配 CNN 网络输入格式。</w:t>
      </w:r>
    </w:p>
    <w:p w14:paraId="43B87A85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5.2.2  卷积核数量减半对准确率的影响</w:t>
      </w:r>
    </w:p>
    <w:p w14:paraId="4EAE6BE0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将卷积核数量由 32/64 减为 16/32 会减少参数量和计算量，通常可加快训练，但也降低特征表达容量。准确率是否下降应以相同数据划分、随机种子和训练轮数下的实测结果为准；容量不足时更容易欠拟合。</w:t>
      </w:r>
    </w:p>
    <w:p w14:paraId="5F4A90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D5B07FC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  <w:rPr>
          <w:rFonts w:ascii="宋体" w:hAnsi="宋体" w:eastAsia="宋体" w:cs="宋体"/>
          <w:sz w:val="24"/>
          <w:szCs w:val="24"/>
        </w:rPr>
      </w:pPr>
      <w:bookmarkStart w:id="1023" w:name="Figure_23"/>
      <w:bookmarkStart w:id="24" w:name="Figure_2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073447"/>
            <wp:effectExtent l="0" t="0" r="5715" b="889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4"/>
      <w:bookmarkEnd w:id="1023"/>
    </w:p>
    <w:p w14:paraId="3D0BFCE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图23  卷积核数量调整后的训练结果</w:t>
      </w:r>
    </w:p>
    <w:p w14:paraId="7B0AA09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F9FD5D8">
      <w:pPr>
        <w:keepNext w:val="1"/>
        <w:keepLines/>
        <w:spacing w:before="60" w:after="40" w:line="240" w:lineRule="auto"/>
        <w:jc w:val="center"/>
      </w:pPr>
      <w:bookmarkStart w:id="1024" w:name="Figure_24"/>
      <w:bookmarkStart w:id="25" w:name="Figure_2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024455"/>
            <wp:effectExtent l="0" t="0" r="0" b="0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5"/>
      <w:bookmarkEnd w:id="1024"/>
    </w:p>
    <w:p w14:paraId="732570C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图24  卷积核数量调整后的准确率曲线</w:t>
      </w:r>
    </w:p>
    <w:p w14:paraId="44E161E4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5.2.3  移除 Dropout 的影响</w:t>
      </w:r>
    </w:p>
    <w:p w14:paraId="5875C232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去掉 Dropout 后，训练阶段不再进行随机失活，训练集拟合通常更充分，但正则化作用减弱，过拟合风险增加。是否影响测试准确率及影响幅度需结合训练集与测试集曲线判断。</w:t>
      </w:r>
    </w:p>
    <w:p w14:paraId="6EEAD5D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CEE3F8">
      <w:pPr>
        <w:keepNext w:val="1"/>
        <w:keepLines/>
        <w:spacing w:before="60" w:after="40" w:line="240" w:lineRule="auto"/>
        <w:jc w:val="center"/>
      </w:pPr>
      <w:bookmarkStart w:id="1025" w:name="Figure_25"/>
      <w:bookmarkStart w:id="26" w:name="Figure_2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023911"/>
            <wp:effectExtent l="0" t="0" r="8255" b="10160"/>
            <wp:docPr id="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23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6"/>
      <w:bookmarkEnd w:id="1025"/>
    </w:p>
    <w:p w14:paraId="6AFD0792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图25  移除 Dropout 后的训练结果</w:t>
      </w:r>
    </w:p>
    <w:p w14:paraId="71EB75B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5EDCF">
      <w:pPr>
        <w:keepNext w:val="1"/>
        <w:keepLines/>
        <w:spacing w:before="60" w:after="40" w:line="240" w:lineRule="auto"/>
        <w:jc w:val="center"/>
      </w:pPr>
      <w:bookmarkStart w:id="1026" w:name="Figure_26"/>
      <w:bookmarkStart w:id="27" w:name="Figure_2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768064"/>
            <wp:effectExtent l="0" t="0" r="0" b="0"/>
            <wp:docPr id="3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1026"/>
    </w:p>
    <w:p w14:paraId="6465290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图26  移除 Dropout 后的准确率曲线</w:t>
      </w:r>
    </w:p>
    <w:p w14:paraId="10AF606C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5.2.4  增加第三个卷积层的影响</w:t>
      </w:r>
    </w:p>
    <w:p w14:paraId="77795FF1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增加第 3 个卷积层可扩大模型容量并提取更高层特征，但 MNIST 图像结构较简单，新增层未必带来明显收益。结果还受到卷积核大小、池化方式、学习率和训练轮数影响，应通过对照实验判断。</w:t>
      </w:r>
    </w:p>
    <w:p w14:paraId="500D593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9A5442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27" w:name="Figure_27"/>
      <w:bookmarkStart w:id="28" w:name="Figure_2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52600"/>
            <wp:effectExtent l="0" t="0" r="5080" b="2540"/>
            <wp:docPr id="3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8"/>
      <w:bookmarkEnd w:id="1027"/>
    </w:p>
    <w:p w14:paraId="12E34DD8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图27  增加第三个卷积层后的训练结果</w:t>
      </w:r>
    </w:p>
    <w:p w14:paraId="69A4A1E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AC3084">
      <w:pPr>
        <w:keepNext w:val="1"/>
        <w:keepLines/>
        <w:spacing w:before="60" w:after="40" w:line="240" w:lineRule="auto"/>
        <w:jc w:val="center"/>
      </w:pPr>
      <w:bookmarkStart w:id="1028" w:name="Figure_28"/>
      <w:bookmarkStart w:id="29" w:name="Figure_2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02520"/>
            <wp:effectExtent l="0" t="0" r="0" b="0"/>
            <wp:docPr id="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0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9"/>
      <w:bookmarkEnd w:id="1028"/>
    </w:p>
    <w:p w14:paraId="7AB14CA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图28  增加第三个卷积层后的准确率曲线</w:t>
      </w:r>
    </w:p>
    <w:p w14:paraId="46BF1C12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本次设置四组对照实验，仅调整卷积核数量、Dropout 层以及卷积层数，其余训练条件保持一致。基线组卷积核为 32/64、包含 Dropout，测试准确率 98.88%；卷积核改为 16/32 后，模型参数量减少，测试准确率 98.92%；移除 Dropout 层后，测试准确率 98.93%；增加第三个卷积层后，模型参数量提升，测试准确率达到 99.31%，为四组中最高。</w:t>
      </w:r>
    </w:p>
    <w:p w14:paraId="3ACDDA4D">
      <w:pPr>
        <w:pStyle w:val="13"/>
        <w:keepLines w:val="0"/>
        <w:widowControl/>
        <w:suppressLineNumbers w:val="0"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对比实验结果可知：减少卷积核数量，模型参数量下降，训练速度更快，在本数据集上测试精度小幅波动；移除 Dropout 后正则约束消失，训练更容易拟合，测试准确率变化不大；增加卷积层能够提升特征提取能力，模型最终测试效果最优。总体来看，增加网络深度对识别精度提升效果明显，Dropout 起到抑制过拟合的作用，卷积通道数减少可降低计算开销。</w:t>
      </w:r>
    </w:p>
    <w:p w14:paraId="25961E2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6  猫狗图像识别</w:t>
      </w:r>
    </w:p>
    <w:p w14:paraId="5D7EDE33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ascii="Times New Roman" w:hAnsi="Times New Roman" w:eastAsia="黑体"/>
          <w:b/>
          <w:sz w:val="30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6.1  运行结果</w:t>
      </w:r>
    </w:p>
    <w:p w14:paraId="5F25498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5B77D60">
      <w:pPr>
        <w:pStyle w:val="4"/>
        <w:keepNext w:val="1"/>
        <w:keepLines/>
        <w:spacing w:before="60" w:after="40" w:line="240" w:lineRule="auto"/>
        <w:jc w:val="center"/>
        <w:rPr>
          <w:rFonts w:hint="eastAsia"/>
          <w:lang w:val="en-US" w:eastAsia="zh-CN"/>
        </w:rPr>
      </w:pPr>
      <w:bookmarkStart w:id="1029" w:name="Figure_29"/>
      <w:bookmarkStart w:id="30" w:name="Figure_29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40000" cy="1692399"/>
            <wp:effectExtent l="0" t="0" r="127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923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0"/>
      <w:bookmarkEnd w:id="1029"/>
    </w:p>
    <w:p w14:paraId="12D762AD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图29  猫狗识别模型的 PyCharm 运行输出</w:t>
      </w:r>
    </w:p>
    <w:p w14:paraId="0E64DD0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05D7A4">
      <w:pPr>
        <w:keepNext w:val="1"/>
        <w:keepLines/>
        <w:spacing w:before="60" w:after="40" w:line="240" w:lineRule="auto"/>
        <w:jc w:val="center"/>
      </w:pPr>
      <w:bookmarkStart w:id="1030" w:name="Figure_30"/>
      <w:bookmarkStart w:id="31" w:name="Figure_30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40000" cy="1331491"/>
            <wp:effectExtent l="0" t="0" r="7620" b="1905"/>
            <wp:docPr id="36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IMG_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31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1"/>
      <w:bookmarkEnd w:id="1030"/>
    </w:p>
    <w:p w14:paraId="2187868C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图30  猫狗识别训练损失与准确率曲线</w:t>
      </w:r>
    </w:p>
    <w:p w14:paraId="1273670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8F4D691">
      <w:pPr>
        <w:keepNext w:val="1"/>
        <w:keepLines/>
        <w:spacing w:before="60" w:after="40" w:line="240" w:lineRule="auto"/>
        <w:jc w:val="center"/>
      </w:pPr>
      <w:bookmarkStart w:id="1031" w:name="Figure_31"/>
      <w:bookmarkStart w:id="32" w:name="Figure_31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40000" cy="2810504"/>
            <wp:effectExtent l="0" t="0" r="4445" b="13335"/>
            <wp:docPr id="5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8105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1031"/>
    </w:p>
    <w:p w14:paraId="5CE94DDE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图31  猫狗识别测试集混淆矩阵</w:t>
      </w:r>
    </w:p>
    <w:p w14:paraId="17D5595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680EFCC">
      <w:pPr>
        <w:keepNext w:val="1"/>
        <w:keepLines/>
        <w:spacing w:before="60" w:after="40" w:line="240" w:lineRule="auto"/>
        <w:jc w:val="center"/>
      </w:pPr>
      <w:bookmarkStart w:id="1032" w:name="Figure_32"/>
      <w:bookmarkStart w:id="33" w:name="Figure_32"/>
      <w:r>
        <w:rPr>
          <w:rFonts w:ascii="Times New Roman" w:hAnsi="Times New Roman" w:eastAsia="宋体" w:cs="宋体"/>
          <w:color w:val="000000"/>
          <w:sz w:val="24"/>
          <w:szCs w:val="24"/>
        </w:rPr>
        <w:drawing>
          <wp:inline distT="0" distB="0" distL="114300" distR="114300">
            <wp:extent cx="3240000" cy="1754455"/>
            <wp:effectExtent l="0" t="0" r="5080" b="12065"/>
            <wp:docPr id="60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754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33"/>
      <w:bookmarkEnd w:id="1032"/>
    </w:p>
    <w:p w14:paraId="60B1944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图32  猫狗识别测试集预测样例</w:t>
      </w:r>
    </w:p>
    <w:p w14:paraId="222500F8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6.1.1  实验设置</w:t>
      </w:r>
    </w:p>
    <w:p w14:paraId="5C0C2E2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使用8005张训练图片和2023张测试图片，其中训练集包含4000张猫、4005张狗，测试集包含1011张猫、1012张狗。模型由4个卷积层和3个全连接层组成，输入图像统一缩放为96×96，批大小为64，使用Adam优化器，学习率为0.001，共训练10轮。为适应CPU环境，卷积通道数依次设置为16、32、64和128，模型总参数量为1,212,930。完整运行输出和训练曲线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"Figure_29"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2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图29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531F261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6.1.2  实验结果</w:t>
      </w:r>
    </w:p>
    <w:p w14:paraId="572ACA1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训练10轮总用时为431.3秒。第10轮取得最佳结果：训练集准确率为88.71%，测试集准确率为88.24%，测试集交叉熵损失为0.3025。训练准确率与测试准确率仅相差0.47个百分点，未表现出明显的过拟合。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显示训练损失总体下降，测试准确率虽有阶段性波动，但整体呈上升趋势。</w:t>
      </w:r>
    </w:p>
    <w:p w14:paraId="37A9818D">
      <w:pPr>
        <w:pStyle w:val="5"/>
        <w:spacing w:before="120" w:after="120" w:line="240" w:lineRule="auto"/>
        <w:jc w:val="left"/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6.1.3  混淆矩阵与误分类分析</w:t>
      </w:r>
    </w:p>
    <w:p w14:paraId="1781FF9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测试集混淆矩阵如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在1011张猫图片中，892张识别正确、119张被误判为狗；在1012张狗图片中，893张识别正确、119张被误判为猫。猫和狗的召回率分别约为88.23%和88.24%，两类识别能力较为均衡，说明总体准确率并非由类别不平衡造成。</w:t>
      </w:r>
    </w:p>
    <w:p w14:paraId="577BD132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预测样例如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正确样例通常具有清晰的主体轮廓；误分类样例中存在复杂背景、遮挡、姿态变化或目标占比较小等情况。两张误判猫图片的预测置信度约为50.4%和72.8%，说明模型对这些边界样本的判别仍不稳定。后续可采用更丰富的数据增强、提高输入分辨率或使用预训练模型改善特征表达能力。</w:t>
      </w:r>
    </w:p>
    <w:p w14:paraId="180CBB4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猫狗识别实验的主要量化结果见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表3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。</w:t>
      </w:r>
    </w:p>
    <w:p w14:paraId="5B853945">
      <w:pPr>
        <w:spacing w:before="0" w:after="120" w:line="240" w:lineRule="auto"/>
        <w:jc w:val="center"/>
      </w:pPr>
      <w:bookmarkStart w:id="2003" w:name="Table_3"/>
      <w:bookmarkStart w:id="34" w:name="Table_3"/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表3  猫狗识别实验结果汇总</w:t>
      </w:r>
      <w:bookmarkEnd w:id="34"/>
      <w:bookmarkEnd w:id="2003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3"/>
      </w:tblGrid>
      <w:tr w14:paraId="4B60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5EDB316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指标</w:t>
            </w:r>
          </w:p>
        </w:tc>
        <w:tc>
          <w:tcPr>
            <w:tcW w:w="4677" w:type="dxa"/>
            <w:vAlign w:val="center"/>
          </w:tcPr>
          <w:p w14:paraId="30C2A41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实验结果</w:t>
            </w:r>
          </w:p>
        </w:tc>
      </w:tr>
      <w:tr w14:paraId="55245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48F1432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模型参数量</w:t>
            </w:r>
          </w:p>
        </w:tc>
        <w:tc>
          <w:tcPr>
            <w:tcW w:w="4677" w:type="dxa"/>
            <w:vAlign w:val="center"/>
          </w:tcPr>
          <w:p w14:paraId="2AEC43E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</w:tr>
      <w:tr w14:paraId="73E50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766C94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训练轮数</w:t>
            </w:r>
          </w:p>
        </w:tc>
        <w:tc>
          <w:tcPr>
            <w:tcW w:w="4677" w:type="dxa"/>
            <w:vAlign w:val="center"/>
          </w:tcPr>
          <w:p w14:paraId="6631A81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</w:tr>
      <w:tr w14:paraId="10450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3B4999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训练总时间</w:t>
            </w:r>
          </w:p>
        </w:tc>
        <w:tc>
          <w:tcPr>
            <w:tcW w:w="4677" w:type="dxa"/>
            <w:vAlign w:val="center"/>
          </w:tcPr>
          <w:p w14:paraId="2502D33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 s</w:t>
            </w:r>
          </w:p>
        </w:tc>
      </w:tr>
      <w:tr w14:paraId="0518F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7131C9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最佳训练集准确率</w:t>
            </w:r>
          </w:p>
        </w:tc>
        <w:tc>
          <w:tcPr>
            <w:tcW w:w="4677" w:type="dxa"/>
            <w:vAlign w:val="center"/>
          </w:tcPr>
          <w:p w14:paraId="4DAB792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88.71%</w:t>
            </w:r>
          </w:p>
        </w:tc>
      </w:tr>
      <w:tr w14:paraId="1FADB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7AD3D23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最佳测试集准确率</w:t>
            </w:r>
          </w:p>
        </w:tc>
        <w:tc>
          <w:tcPr>
            <w:tcW w:w="4677" w:type="dxa"/>
            <w:vAlign w:val="center"/>
          </w:tcPr>
          <w:p w14:paraId="0761DB7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6D5A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77" w:type="dxa"/>
            <w:vAlign w:val="center"/>
          </w:tcPr>
          <w:p w14:paraId="60F5CE5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最佳测试集损失</w:t>
            </w:r>
          </w:p>
        </w:tc>
        <w:tc>
          <w:tcPr>
            <w:tcW w:w="4677" w:type="dxa"/>
            <w:vAlign w:val="center"/>
          </w:tcPr>
          <w:p w14:paraId="6C1FFB1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</w:tr>
    </w:tbl>
    <w:p w14:paraId="2FCCC0CD">
      <w:pPr>
        <w:pStyle w:val="3"/>
        <w:numPr>
          <w:ilvl w:val="0"/>
          <w:numId w:val="0"/>
        </w:numPr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6.2  问题分析与解决方案</w:t>
      </w:r>
    </w:p>
    <w:p w14:paraId="03526560">
      <w:pPr>
        <w:pStyle w:val="33"/>
        <w:numPr>
          <w:ilvl w:val="0"/>
          <w:numId w:val="0"/>
        </w:numPr>
        <w:bidi w:val="0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6.2.1  数据路径配置错误</w:t>
      </w:r>
    </w:p>
    <w:p w14:paraId="338D076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4518E0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3" w:name="Figure_33"/>
      <w:bookmarkStart w:id="35" w:name="Figure_3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666834"/>
            <wp:effectExtent l="0" t="0" r="6985" b="1143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66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5"/>
      <w:bookmarkEnd w:id="1033"/>
    </w:p>
    <w:p w14:paraId="58A6A816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图33  猫狗识别中的数据路径错误</w:t>
      </w:r>
    </w:p>
    <w:p w14:paraId="1761B55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解决方法</w:t>
      </w:r>
    </w:p>
    <w:p w14:paraId="770FA249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将数据路径改为本机实际保存位置，并确认该目录存在且当前账户具有读取权限。</w:t>
      </w:r>
    </w:p>
    <w:p w14:paraId="085E2C4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43251A7">
      <w:pPr>
        <w:keepNext w:val="1"/>
        <w:keepLines/>
        <w:numPr>
          <w:ilvl w:val="0"/>
          <w:numId w:val="0"/>
        </w:numPr>
        <w:bidi w:val="0"/>
        <w:spacing w:before="60" w:after="40" w:line="240" w:lineRule="auto"/>
        <w:jc w:val="center"/>
      </w:pPr>
      <w:bookmarkStart w:id="1034" w:name="Figure_34"/>
      <w:bookmarkStart w:id="36" w:name="Figure_3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643971"/>
            <wp:effectExtent l="0" t="0" r="7620" b="7620"/>
            <wp:docPr id="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4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6"/>
      <w:bookmarkEnd w:id="1034"/>
    </w:p>
    <w:p w14:paraId="581AD7B8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图34  路径修正后的原始程序运行结果</w:t>
      </w:r>
    </w:p>
    <w:p w14:paraId="420591EB">
      <w:pPr>
        <w:pStyle w:val="2"/>
        <w:numPr>
          <w:ilvl w:val="0"/>
          <w:numId w:val="0"/>
        </w:numPr>
        <w:bidi w:val="0"/>
        <w:spacing w:before="340" w:after="330" w:line="240" w:lineRule="auto"/>
        <w:ind w:leftChars="0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7  VGG16 迁移学习</w:t>
      </w:r>
    </w:p>
    <w:p w14:paraId="2D23B116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7.1  VGG16 运行结果</w:t>
      </w:r>
    </w:p>
    <w:p w14:paraId="094538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EC60258">
      <w:pPr>
        <w:keepNext w:val="1"/>
        <w:keepLines/>
        <w:spacing w:before="60" w:after="40" w:line="240" w:lineRule="auto"/>
        <w:jc w:val="center"/>
      </w:pPr>
      <w:bookmarkStart w:id="1035" w:name="Figure_35"/>
      <w:bookmarkStart w:id="37" w:name="Figure_3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666270"/>
            <wp:effectExtent l="0" t="0" r="6350" b="8255"/>
            <wp:docPr id="3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6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7"/>
      <w:bookmarkEnd w:id="1035"/>
    </w:p>
    <w:p w14:paraId="52797A5E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图35  VGG16迁移学习实验配置与参数</w:t>
      </w:r>
    </w:p>
    <w:p w14:paraId="71DA198B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DC2E09C">
      <w:pPr>
        <w:keepNext w:val="1"/>
        <w:keepLines/>
        <w:spacing w:before="60" w:after="40" w:line="240" w:lineRule="auto"/>
        <w:jc w:val="center"/>
      </w:pPr>
      <w:bookmarkStart w:id="1036" w:name="Figure_36"/>
      <w:bookmarkStart w:id="38" w:name="Figure_3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248205"/>
            <wp:effectExtent l="0" t="0" r="7620" b="7620"/>
            <wp:docPr id="3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24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8"/>
      <w:bookmarkEnd w:id="1036"/>
    </w:p>
    <w:p w14:paraId="2292D12A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图36  VGG16训练损失与准确率曲线</w:t>
      </w:r>
    </w:p>
    <w:p w14:paraId="70E0CB7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3E8B7BC">
      <w:pPr>
        <w:keepNext w:val="1"/>
        <w:keepLines/>
        <w:spacing w:before="60" w:after="40" w:line="240" w:lineRule="auto"/>
        <w:jc w:val="center"/>
      </w:pPr>
      <w:bookmarkStart w:id="1037" w:name="Figure_37"/>
      <w:bookmarkStart w:id="39" w:name="Figure_3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23750"/>
            <wp:effectExtent l="0" t="0" r="7620" b="0"/>
            <wp:docPr id="3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2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9"/>
      <w:bookmarkEnd w:id="1037"/>
    </w:p>
    <w:p w14:paraId="6AF1D09C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图37  VGG16猫狗识别运行结果</w:t>
      </w:r>
    </w:p>
    <w:p w14:paraId="1DFB1D05">
      <w:pPr>
        <w:pStyle w:val="3"/>
        <w:spacing w:before="260" w:after="260" w:line="240" w:lineRule="auto"/>
        <w:jc w:val="left"/>
        <w:rPr>
          <w:rFonts w:hint="eastAsia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7.2  VGG16 微调与从零训练 CNN 的比较</w:t>
      </w:r>
    </w:p>
    <w:p w14:paraId="62907E14">
      <w:pPr>
        <w:numPr>
          <w:ilvl w:val="0"/>
          <w:numId w:val="0"/>
        </w:numPr>
        <w:bidi w:val="0"/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本次实验使用ImageNet预训练VGG16，冻结卷积特征层，将分类头替换为Linear(512, 2)，输入尺寸为96×96。模型总参数量为14,715,714，其中可训练参数量为1,026。使用与第6章普通CNN完全相同的8005张训练图片和2023张测试图片，训练3轮总用时762.84秒。第3轮取得最佳结果：训练集准确率95.20%，测试集准确率95.30%，测试损失0.1180。实验配置、训练曲线和运行结果分别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和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8CCC7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与第6章普通CNN相比，VGG16测试准确率由88.24%提高到95.30%，提高7.06个百分点；测试损失由0.3025降至0.1180。VGG16虽然只训练3轮，但CPU总训练时间为762.84秒，比普通CNN的431.3秒增加331.54秒。其总参数量约为普通CNN的12.1倍，不过冻结特征层后仅有1,026个分类头参数参与更新。这说明预训练特征显著提高了识别精度，但VGG16前向特征提取仍带来较大的计算开销。</w:t>
      </w:r>
    </w:p>
    <w:p w14:paraId="79B7A46F">
      <w:pPr>
        <w:spacing w:line="360" w:lineRule="auto" w:before="0" w:after="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普通CNN与VGG16的量化对比结果见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4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表4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5E5FE62">
      <w:pPr>
        <w:spacing w:line="240" w:lineRule="auto" w:before="0" w:after="120"/>
        <w:jc w:val="center"/>
      </w:pPr>
      <w:bookmarkStart w:id="2004" w:name="Table_4"/>
      <w:bookmarkStart w:id="40" w:name="Table_4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表4  普通CNN与VGG16迁移学习结果对比</w:t>
      </w:r>
      <w:bookmarkEnd w:id="40"/>
      <w:bookmarkEnd w:id="2004"/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1336"/>
        <w:gridCol w:w="1335"/>
        <w:gridCol w:w="1334"/>
        <w:gridCol w:w="1335"/>
        <w:gridCol w:w="1335"/>
        <w:gridCol w:w="1335"/>
      </w:tblGrid>
      <w:tr w14:paraId="54C4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718AA3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1336" w:type="dxa"/>
            <w:vAlign w:val="center"/>
          </w:tcPr>
          <w:p w14:paraId="6071288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总参数量</w:t>
            </w:r>
          </w:p>
        </w:tc>
        <w:tc>
          <w:tcPr>
            <w:tcW w:w="1336" w:type="dxa"/>
            <w:vAlign w:val="center"/>
          </w:tcPr>
          <w:p w14:paraId="5A7F857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可训练参数量</w:t>
            </w:r>
          </w:p>
        </w:tc>
        <w:tc>
          <w:tcPr>
            <w:tcW w:w="1336" w:type="dxa"/>
            <w:vAlign w:val="center"/>
          </w:tcPr>
          <w:p w14:paraId="16E4C7F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训练轮数</w:t>
            </w:r>
          </w:p>
        </w:tc>
        <w:tc>
          <w:tcPr>
            <w:tcW w:w="1336" w:type="dxa"/>
            <w:vAlign w:val="center"/>
          </w:tcPr>
          <w:p w14:paraId="4FF8D0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1336" w:type="dxa"/>
            <w:vAlign w:val="center"/>
          </w:tcPr>
          <w:p w14:paraId="35CE85A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测试损失</w:t>
            </w:r>
          </w:p>
        </w:tc>
        <w:tc>
          <w:tcPr>
            <w:tcW w:w="1336" w:type="dxa"/>
            <w:vAlign w:val="center"/>
          </w:tcPr>
          <w:p w14:paraId="42B9E5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测试准确率</w:t>
            </w:r>
          </w:p>
        </w:tc>
      </w:tr>
      <w:tr w14:paraId="707AF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0B084AE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普通CNN</w:t>
            </w:r>
          </w:p>
        </w:tc>
        <w:tc>
          <w:tcPr>
            <w:tcW w:w="1336" w:type="dxa"/>
            <w:vAlign w:val="center"/>
          </w:tcPr>
          <w:p w14:paraId="03951A8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4DA64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1,212,930</w:t>
            </w:r>
          </w:p>
        </w:tc>
        <w:tc>
          <w:tcPr>
            <w:tcW w:w="1336" w:type="dxa"/>
            <w:vAlign w:val="center"/>
          </w:tcPr>
          <w:p w14:paraId="2AE820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10</w:t>
            </w:r>
          </w:p>
        </w:tc>
        <w:tc>
          <w:tcPr>
            <w:tcW w:w="1336" w:type="dxa"/>
            <w:vAlign w:val="center"/>
          </w:tcPr>
          <w:p w14:paraId="4B98CE9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431.30</w:t>
            </w:r>
          </w:p>
        </w:tc>
        <w:tc>
          <w:tcPr>
            <w:tcW w:w="1336" w:type="dxa"/>
            <w:vAlign w:val="center"/>
          </w:tcPr>
          <w:p w14:paraId="0A7E2E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0.3025</w:t>
            </w:r>
          </w:p>
        </w:tc>
        <w:tc>
          <w:tcPr>
            <w:tcW w:w="1336" w:type="dxa"/>
            <w:vAlign w:val="center"/>
          </w:tcPr>
          <w:p w14:paraId="6C54769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88.24%</w:t>
            </w:r>
          </w:p>
        </w:tc>
      </w:tr>
      <w:tr w14:paraId="4B232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6" w:type="dxa"/>
            <w:vAlign w:val="center"/>
          </w:tcPr>
          <w:p w14:paraId="748823F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VGG16迁移学习</w:t>
            </w:r>
          </w:p>
        </w:tc>
        <w:tc>
          <w:tcPr>
            <w:tcW w:w="1336" w:type="dxa"/>
            <w:vAlign w:val="center"/>
          </w:tcPr>
          <w:p w14:paraId="6B77BA2C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14,715,714</w:t>
            </w:r>
          </w:p>
        </w:tc>
        <w:tc>
          <w:tcPr>
            <w:tcW w:w="1336" w:type="dxa"/>
            <w:vAlign w:val="center"/>
          </w:tcPr>
          <w:p w14:paraId="1F9F6EE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1,026</w:t>
            </w:r>
          </w:p>
        </w:tc>
        <w:tc>
          <w:tcPr>
            <w:tcW w:w="1336" w:type="dxa"/>
            <w:vAlign w:val="center"/>
          </w:tcPr>
          <w:p w14:paraId="6C8A26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</w:t>
            </w:r>
          </w:p>
        </w:tc>
        <w:tc>
          <w:tcPr>
            <w:tcW w:w="1336" w:type="dxa"/>
            <w:vAlign w:val="center"/>
          </w:tcPr>
          <w:p w14:paraId="73A77A0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762.84</w:t>
            </w:r>
          </w:p>
        </w:tc>
        <w:tc>
          <w:tcPr>
            <w:tcW w:w="1336" w:type="dxa"/>
            <w:vAlign w:val="center"/>
          </w:tcPr>
          <w:p w14:paraId="6C921B2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0.1180</w:t>
            </w:r>
          </w:p>
        </w:tc>
        <w:tc>
          <w:tcPr>
            <w:tcW w:w="1336" w:type="dxa"/>
            <w:vAlign w:val="center"/>
          </w:tcPr>
          <w:p w14:paraId="05CCAF8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95.30%</w:t>
            </w:r>
          </w:p>
        </w:tc>
      </w:tr>
    </w:tbl>
    <w:p w14:paraId="3E47E819">
      <w:pPr>
        <w:pStyle w:val="2"/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8  VGG16 特征可视化</w:t>
      </w:r>
    </w:p>
    <w:p w14:paraId="682FB658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8.1  浅层卷积特征图</w:t>
      </w:r>
    </w:p>
    <w:p w14:paraId="4E8966B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特点：尺寸和原图接近，只凸显边缘、线条、轮廓、纹理；和原图结构相似，只能看到基础的线条信息，看不出猫、狗这种物体。</w:t>
      </w:r>
    </w:p>
    <w:p w14:paraId="38BDFE3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ab/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对比图</w:t>
      </w:r>
    </w:p>
    <w:p w14:paraId="35EC3795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0CD9137">
      <w:pPr>
        <w:keepNext w:val="1"/>
        <w:keepLines/>
        <w:spacing w:before="60" w:after="40" w:line="240" w:lineRule="auto"/>
        <w:jc w:val="center"/>
      </w:pPr>
      <w:bookmarkStart w:id="1038" w:name="Figure_38"/>
      <w:bookmarkStart w:id="41" w:name="Figure_3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5715" b="3810"/>
            <wp:docPr id="4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1"/>
      <w:bookmarkEnd w:id="1038"/>
    </w:p>
    <w:p w14:paraId="5F70597C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图38  VGG16 输入原图</w:t>
      </w:r>
    </w:p>
    <w:p w14:paraId="6D3F3E2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"Figure_39"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3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图39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34B1584">
      <w:pPr>
        <w:keepNext w:val="1"/>
        <w:keepLines/>
        <w:spacing w:before="60" w:after="40" w:line="240" w:lineRule="auto"/>
        <w:jc w:val="center"/>
      </w:pPr>
      <w:bookmarkStart w:id="1039" w:name="Figure_39"/>
      <w:bookmarkStart w:id="42" w:name="Figure_3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13970" b="6350"/>
            <wp:docPr id="4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2"/>
      <w:bookmarkEnd w:id="1039"/>
    </w:p>
    <w:p w14:paraId="310CFD68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图39  VGG16 浅层卷积特征图</w:t>
      </w:r>
    </w:p>
    <w:p w14:paraId="10F7FBF3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36051E1">
      <w:pPr>
        <w:keepNext w:val="1"/>
        <w:keepLines/>
        <w:spacing w:before="60" w:after="40" w:line="240" w:lineRule="auto"/>
        <w:jc w:val="center"/>
      </w:pPr>
      <w:bookmarkStart w:id="1040" w:name="Figure_40"/>
      <w:bookmarkStart w:id="43" w:name="Figure_4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6350" b="12065"/>
            <wp:docPr id="4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3"/>
      <w:bookmarkEnd w:id="1040"/>
    </w:p>
    <w:p w14:paraId="45BE360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图40  浅层卷积特征与原图对比</w:t>
      </w:r>
    </w:p>
    <w:p w14:paraId="5E95D102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8.2  深层特征图</w:t>
      </w:r>
    </w:p>
    <w:p w14:paraId="3E73DC8B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经过多次卷积 + 池化，分辨率变得很小（7×7）；图上是离散的激活色块，已经完全看不出图像轮廓，提取的是抽象语义特征。</w:t>
      </w:r>
    </w:p>
    <w:p w14:paraId="2D321DC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8A985F5">
      <w:pPr>
        <w:keepNext w:val="1"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1" w:name="Figure_41"/>
      <w:bookmarkStart w:id="44" w:name="Figure_4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5715" b="12065"/>
            <wp:docPr id="4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4"/>
      <w:bookmarkEnd w:id="1041"/>
    </w:p>
    <w:p w14:paraId="0D08C8C6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图41  VGG16 深层特征图（一）</w:t>
      </w:r>
    </w:p>
    <w:p w14:paraId="10ABEC1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401E1AA">
      <w:pPr>
        <w:keepNext w:val="1"/>
        <w:keepLines/>
        <w:spacing w:before="60" w:after="40" w:line="240" w:lineRule="auto"/>
        <w:jc w:val="center"/>
      </w:pPr>
      <w:bookmarkStart w:id="1042" w:name="Figure_42"/>
      <w:bookmarkStart w:id="45" w:name="Figure_4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13335" b="9525"/>
            <wp:docPr id="4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5"/>
      <w:bookmarkEnd w:id="1042"/>
    </w:p>
    <w:p w14:paraId="27A3C77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图42  VGG16 深层特征图（二）</w:t>
      </w:r>
    </w:p>
    <w:p w14:paraId="03203CA4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F85473D">
      <w:pPr>
        <w:keepNext w:val="1"/>
        <w:keepLines/>
        <w:spacing w:before="60" w:after="40" w:line="240" w:lineRule="auto"/>
        <w:jc w:val="center"/>
      </w:pPr>
      <w:bookmarkStart w:id="1043" w:name="Figure_43"/>
      <w:bookmarkStart w:id="46" w:name="Figure_4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10160" b="7620"/>
            <wp:docPr id="4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6"/>
      <w:bookmarkEnd w:id="1043"/>
    </w:p>
    <w:p w14:paraId="2520CAA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图43  VGG16 深层特征图（三）</w:t>
      </w:r>
    </w:p>
    <w:p w14:paraId="5BA74E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3841DE">
      <w:pPr>
        <w:keepNext w:val="1"/>
        <w:keepLines/>
        <w:spacing w:before="60" w:after="40" w:line="240" w:lineRule="auto"/>
        <w:jc w:val="center"/>
      </w:pPr>
      <w:bookmarkStart w:id="1044" w:name="Figure_44"/>
      <w:bookmarkStart w:id="47" w:name="Figure_4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5715" b="3810"/>
            <wp:docPr id="4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7"/>
      <w:bookmarkEnd w:id="1044"/>
    </w:p>
    <w:p w14:paraId="6B6B9F4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图44  VGG16 深层特征图（四）</w:t>
      </w:r>
    </w:p>
    <w:p w14:paraId="228C04A5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8.3  Grad-CAM 热力图</w:t>
      </w:r>
    </w:p>
    <w:p w14:paraId="58E7DC16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上采样放大后的热力图，代表网络激活区域。</w:t>
      </w:r>
    </w:p>
    <w:p w14:paraId="10A64FA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6219094">
      <w:pPr>
        <w:keepNext w:val="1"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5" w:name="Figure_45"/>
      <w:bookmarkStart w:id="48" w:name="Figure_4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13970" b="13970"/>
            <wp:docPr id="4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8"/>
      <w:bookmarkEnd w:id="1045"/>
    </w:p>
    <w:p w14:paraId="37EAF4C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图45  Grad-CAM 热力图</w:t>
      </w:r>
    </w:p>
    <w:p w14:paraId="71326860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8.4  热力图与原图叠加</w:t>
      </w:r>
    </w:p>
    <w:p w14:paraId="3B2B5B53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热力图叠加在原始图片上，直观展示模型重点关注区域</w:t>
      </w:r>
    </w:p>
    <w:p w14:paraId="1C433AD7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7F630716">
      <w:pPr>
        <w:keepNext w:val="1"/>
        <w:keepLines/>
        <w:tabs>
          <w:tab w:val="left" w:pos="3167"/>
        </w:tabs>
        <w:bidi w:val="0"/>
        <w:spacing w:before="60" w:after="40" w:line="240" w:lineRule="auto"/>
        <w:jc w:val="center"/>
      </w:pPr>
      <w:bookmarkStart w:id="1046" w:name="Figure_46"/>
      <w:bookmarkStart w:id="49" w:name="Figure_4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30000"/>
            <wp:effectExtent l="0" t="0" r="6350" b="8890"/>
            <wp:docPr id="4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49"/>
      <w:bookmarkEnd w:id="1046"/>
    </w:p>
    <w:p w14:paraId="7588FD01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图46  Grad-CAM 热力图与原图叠加结果</w:t>
      </w:r>
    </w:p>
    <w:p w14:paraId="3DBC4DAD">
      <w:pPr>
        <w:pStyle w:val="3"/>
        <w:tabs>
          <w:tab w:val="left" w:pos="3167"/>
        </w:tabs>
        <w:bidi w:val="0"/>
        <w:spacing w:before="260" w:after="260" w:line="240" w:lineRule="auto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8.5  类别激活结果分析</w:t>
      </w:r>
    </w:p>
    <w:p w14:paraId="75B62BD0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1. 生成的 CAM 热力叠加图中，高亮暖色区域集中在图片中目标物体（猫 / 狗）本体位置，而背景（地板、墙面）大多是蓝色冷色。</w:t>
      </w:r>
    </w:p>
    <w:p w14:paraId="7593B1D5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2. 说明 VGG16 做图像分类时，不是随机看整张图片，主要依靠目标物体本体的特征来输出分类结果，背景干扰信息对分类的贡献较低。</w:t>
      </w:r>
    </w:p>
    <w:p w14:paraId="665E729A">
      <w:pPr>
        <w:tabs>
          <w:tab w:val="left" w:pos="3167"/>
        </w:tabs>
        <w:bidi w:val="0"/>
        <w:spacing w:before="0" w:after="0" w:line="360" w:lineRule="auto"/>
        <w:ind w:firstLine="48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3. 对比前面单独看某一个通道的特征图：单独通道只能看到某一类局部特征；CAM 是所有通道按分类重要性加权后的综合结果，直接体现对分类起决定性作用的图像位置。</w:t>
      </w:r>
    </w:p>
    <w:p w14:paraId="098149C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23D05F">
      <w:pPr>
        <w:keepNext w:val="1"/>
        <w:keepLines/>
        <w:spacing w:before="60" w:after="40" w:line="240" w:lineRule="auto"/>
        <w:jc w:val="center"/>
      </w:pPr>
      <w:bookmarkStart w:id="1047" w:name="Figure_47"/>
      <w:bookmarkStart w:id="50" w:name="Figure_47"/>
      <w:r>
        <w:rPr>
          <w:rFonts w:ascii="Times New Roman" w:hAnsi="Times New Roman" w:eastAsia="宋体"/>
          <w:color w:val="000000"/>
          <w:sz w:val="24"/>
        </w:rPr>
        <w:drawing>
          <wp:inline distT="0" distB="0" distL="0" distR="0">
            <wp:extent cx="3240000" cy="2430000"/>
            <wp:effectExtent l="0" t="0" r="5080" b="3175"/>
            <wp:docPr id="5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  <w:bookmarkEnd w:id="1047"/>
    </w:p>
    <w:p w14:paraId="22BF1A1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图47  VGG16 类别激活可视化结果</w:t>
      </w:r>
    </w:p>
    <w:p w14:paraId="456C8778">
      <w:pPr>
        <w:pStyle w:val="2"/>
        <w:bidi w:val="0"/>
        <w:spacing w:before="340" w:after="33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9  电力负荷预测中的特征工程</w:t>
      </w:r>
    </w:p>
    <w:p w14:paraId="6B3F2A49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9.1  基线特征模型</w:t>
      </w:r>
    </w:p>
    <w:p w14:paraId="3E4E8C5F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运行代码结果</w:t>
      </w:r>
    </w:p>
    <w:p w14:paraId="26E4C5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6D84BB1">
      <w:pPr>
        <w:keepNext w:val="1"/>
        <w:keepLines/>
        <w:spacing w:before="60" w:after="40" w:line="240" w:lineRule="auto"/>
        <w:jc w:val="center"/>
      </w:pPr>
      <w:bookmarkStart w:id="1048" w:name="Figure_48"/>
      <w:bookmarkStart w:id="51" w:name="Figure_4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597137"/>
            <wp:effectExtent l="0" t="0" r="762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59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1"/>
      <w:bookmarkEnd w:id="1048"/>
    </w:p>
    <w:p w14:paraId="03170942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图48  基线特征模型的预测结果</w:t>
      </w:r>
    </w:p>
    <w:p w14:paraId="40E15CE2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9.2  人工构造滞后与统计特征</w:t>
      </w:r>
    </w:p>
    <w:p w14:paraId="4BE7EBA2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代码运行结果</w:t>
      </w:r>
    </w:p>
    <w:p w14:paraId="547CDF15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基线模型仅使用月份、星期、季节和是否周末等日历类别特征，并由 Embedding 与 MLP 学习非线性关系；它未显式利用历史负荷信息。</w:t>
      </w:r>
    </w:p>
    <w:p w14:paraId="5314C67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64DC3D04">
      <w:pPr>
        <w:keepNext w:val="1"/>
        <w:keepLines/>
        <w:spacing w:before="60" w:after="40" w:line="240" w:lineRule="auto"/>
        <w:jc w:val="center"/>
      </w:pPr>
      <w:bookmarkStart w:id="1049" w:name="Figure_49"/>
      <w:bookmarkStart w:id="52" w:name="Figure_4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099032"/>
            <wp:effectExtent l="0" t="0" r="6350" b="8890"/>
            <wp:docPr id="65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9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1049"/>
    </w:p>
    <w:p w14:paraId="1134AA1C">
      <w:pPr>
        <w:pStyle w:val="34"/>
        <w:keepLines w:val="1"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图49  加入滞后与统计特征后的预测结果</w:t>
      </w:r>
    </w:p>
    <w:p w14:paraId="4DBE5A3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070F91B2">
      <w:pPr>
        <w:pStyle w:val="34"/>
        <w:keepNext w:val="1"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0" w:name="Figure_50"/>
      <w:bookmarkStart w:id="53" w:name="Figure_5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491532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9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3"/>
      <w:bookmarkEnd w:id="1050"/>
    </w:p>
    <w:p w14:paraId="1AC6769D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图50  加入滞后与统计特征后的测试指标</w:t>
      </w:r>
    </w:p>
    <w:p w14:paraId="7F72B7A0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基线模型未引入历史负荷特征，仅采用月份、星期、季节、是否周末日历特征，由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可得测试集指标：RMSE=1.0341，MAE=0.9522。在保持实验条件一致的前提下，引入滞后负荷、滑动均值、负荷差值等时序特征后，由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"Figure_49"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4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图49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 xml:space="preserve"> 可得测试集指标：RMSE=1.0194，MAE=0.9363。 本实验采用时序顺序划分数据集，按照时间先后顺序将全部数据前 80% 划分为训练集，后 20% 作为测试集，全程不采用随机打乱划分方式，规避时序数据泄露问题。对比结果可见，增加历史时序特征后模型 RMSE 与 MAE 均有所下降，预测精度得到小幅提升。</w:t>
      </w:r>
    </w:p>
    <w:p w14:paraId="28499626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代码复核发现，原始写法 Delta_1 = Load - Lag_1 在构造当天输入时使用了当天真实负荷，会造成目标泄漏。统一复现实验将其修正为 Delta_1 = Lag_1 - Lag_2，即“昨日负荷减前日负荷”，使所有输入在预测时均可获得。连续特征和目标值的标准化参数仅由训练集拟合，再应用于测试集。</w:t>
      </w:r>
    </w:p>
    <w:p w14:paraId="33AF79BE">
      <w:pPr>
        <w:spacing w:before="0" w:after="0" w:line="360" w:lineRule="auto"/>
        <w:ind w:firstLine="480"/>
        <w:jc w:val="both"/>
        <w:rPr>
          <w:rFonts w:hint="eastAsia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改进模型在日历特征之外加入昨日负荷、上周同期负荷、过去三天平均负荷和近期变化量。严格来说，这些属于人工构造的滞后与统计特征，而非类别特征之间的显式交叉；它们分别刻画短期连续性、周周期、近期水平和变化趋势。</w:t>
      </w:r>
    </w:p>
    <w:p w14:paraId="2F14A903">
      <w:pPr>
        <w:pStyle w:val="3"/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9.3  问题分析与解决方案</w:t>
      </w:r>
    </w:p>
    <w:p w14:paraId="68D4BAD9">
      <w:pPr>
        <w:pStyle w:val="33"/>
        <w:spacing w:before="120" w:after="120" w:line="240" w:lineRule="auto"/>
        <w:jc w:val="left"/>
        <w:rPr>
          <w:rFonts w:hint="default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9.3.1  缺少 pandas</w:t>
      </w:r>
    </w:p>
    <w:p w14:paraId="3ABE643F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897BD2">
      <w:pPr>
        <w:keepNext w:val="1"/>
        <w:keepLines/>
        <w:spacing w:before="60" w:after="40" w:line="240" w:lineRule="auto"/>
        <w:jc w:val="center"/>
      </w:pPr>
      <w:bookmarkStart w:id="1051" w:name="Figure_51"/>
      <w:bookmarkStart w:id="54" w:name="Figure_5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630362"/>
            <wp:effectExtent l="0" t="0" r="12065" b="3810"/>
            <wp:docPr id="5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4"/>
      <w:bookmarkEnd w:id="1051"/>
    </w:p>
    <w:p w14:paraId="1EDCA3E3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图51  缺少 pandas 时的报错信息</w:t>
      </w:r>
    </w:p>
    <w:p w14:paraId="0A602E5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当前 PyTorch 虚拟环境缺少 pandas 库，程序无法导入相应模块。</w:t>
      </w:r>
    </w:p>
    <w:p w14:paraId="42B7C07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22BE48DE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pandas，安装完成后重新运行程序。</w:t>
      </w:r>
    </w:p>
    <w:p w14:paraId="5125EC3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AB44958">
      <w:pPr>
        <w:keepNext w:val="1"/>
        <w:keepLines/>
        <w:spacing w:before="60" w:after="40" w:line="240" w:lineRule="auto"/>
        <w:jc w:val="center"/>
      </w:pPr>
      <w:bookmarkStart w:id="1052" w:name="Figure_52"/>
      <w:bookmarkStart w:id="55" w:name="Figure_5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154576"/>
            <wp:effectExtent l="0" t="0" r="8890" b="3175"/>
            <wp:docPr id="5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15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5"/>
      <w:bookmarkEnd w:id="1052"/>
    </w:p>
    <w:p w14:paraId="12CF904E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图52  pandas 安装结果</w:t>
      </w:r>
    </w:p>
    <w:p w14:paraId="2E6A2514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9.3.2  缺少 scikit-learn</w:t>
      </w:r>
    </w:p>
    <w:p w14:paraId="43CF512D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"Figure_53"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3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图53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7E0EB4F">
      <w:pPr>
        <w:keepNext w:val="1"/>
        <w:keepLines/>
        <w:spacing w:before="60" w:after="40" w:line="240" w:lineRule="auto"/>
        <w:jc w:val="center"/>
      </w:pPr>
      <w:bookmarkStart w:id="1053" w:name="Figure_53"/>
      <w:bookmarkStart w:id="56" w:name="Figure_53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637439"/>
            <wp:effectExtent l="0" t="0" r="8255" b="5080"/>
            <wp:docPr id="5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7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6"/>
      <w:bookmarkEnd w:id="1053"/>
    </w:p>
    <w:p w14:paraId="13DA1064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图53  缺少 scikit-learn 时的报错信息</w:t>
      </w:r>
    </w:p>
    <w:p w14:paraId="07F6D571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导入名为 sklearn，但安装包名为 scikit-learn；当前 PyTorch Conda 环境缺少该依赖。</w:t>
      </w:r>
    </w:p>
    <w:p w14:paraId="2A9195FA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4C2EC1BA">
      <w:pPr>
        <w:pStyle w:val="12"/>
        <w:keepLines w:val="0"/>
        <w:widowControl/>
        <w:suppressLineNumbers w:val="0"/>
        <w:spacing w:before="0" w:after="0" w:line="360" w:lineRule="auto"/>
        <w:ind w:firstLine="480"/>
        <w:jc w:val="both"/>
        <w:rPr>
          <w:rFonts w:hint="eastAsia" w:ascii="Consolas" w:hAnsi="Consolas" w:eastAsia="宋体" w:cs="Consolas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scikit-learn。</w:t>
      </w:r>
    </w:p>
    <w:p w14:paraId="738D35C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"Figure_54"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4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图54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CD102B3">
      <w:pPr>
        <w:keepNext w:val="1"/>
        <w:keepLines/>
        <w:spacing w:before="60" w:after="40" w:line="240" w:lineRule="auto"/>
        <w:jc w:val="center"/>
      </w:pPr>
      <w:bookmarkStart w:id="1054" w:name="Figure_54"/>
      <w:bookmarkStart w:id="57" w:name="Figure_54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2416391"/>
            <wp:effectExtent l="0" t="0" r="7620" b="0"/>
            <wp:docPr id="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16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7"/>
      <w:bookmarkEnd w:id="1054"/>
    </w:p>
    <w:p w14:paraId="66B1FA95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图54  scikit-learn 安装结果</w:t>
      </w:r>
    </w:p>
    <w:p w14:paraId="17E113E6">
      <w:pPr>
        <w:pStyle w:val="33"/>
        <w:spacing w:before="120" w:after="12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28"/>
          <w:szCs w:val="28"/>
          <w:bCs w:val="1"/>
        </w:rPr>
        <w:t>9.3.3  缺少 openpyxl</w:t>
      </w:r>
    </w:p>
    <w:p w14:paraId="40733F48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5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图55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18A8A67">
      <w:pPr>
        <w:keepNext w:val="1"/>
        <w:keepLines/>
        <w:spacing w:before="60" w:after="40" w:line="240" w:lineRule="auto"/>
        <w:jc w:val="center"/>
      </w:pPr>
      <w:bookmarkStart w:id="1055" w:name="Figure_55"/>
      <w:bookmarkStart w:id="58" w:name="Figure_55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876955"/>
            <wp:effectExtent l="0" t="0" r="13335" b="9525"/>
            <wp:docPr id="5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8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8"/>
      <w:bookmarkEnd w:id="1055"/>
    </w:p>
    <w:p w14:paraId="59F0C07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图55  缺少 openpyxl 时的报错信息</w:t>
      </w:r>
    </w:p>
    <w:p w14:paraId="35B45A7E">
      <w:pPr>
        <w:spacing w:before="0" w:after="0" w:line="360" w:lineRule="auto"/>
        <w:ind w:firstLine="480"/>
        <w:jc w:val="both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pandas 读写 .xlsx 文件需要 openpyxl；当前 PyTorch 环境缺少该依赖。</w:t>
      </w:r>
    </w:p>
    <w:p w14:paraId="131F9C26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解决办法</w:t>
      </w:r>
    </w:p>
    <w:p w14:paraId="3BC367A1">
      <w:p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在 Anaconda Prompt 中激活 pytorch 环境后执行 conda install openpyxl。</w:t>
      </w:r>
    </w:p>
    <w:p w14:paraId="4C0A8611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"Figure_56"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6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图56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1EDE2672">
      <w:pPr>
        <w:keepNext w:val="1"/>
        <w:keepLines/>
        <w:spacing w:before="60" w:after="40" w:line="240" w:lineRule="auto"/>
        <w:jc w:val="center"/>
      </w:pPr>
      <w:bookmarkStart w:id="1056" w:name="Figure_56"/>
      <w:bookmarkStart w:id="59" w:name="Figure_56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951532"/>
            <wp:effectExtent l="0" t="0" r="0" b="0"/>
            <wp:docPr id="58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95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9"/>
      <w:bookmarkEnd w:id="1056"/>
    </w:p>
    <w:p w14:paraId="718A717E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图56  openpyxl 安装结果</w:t>
      </w:r>
    </w:p>
    <w:p w14:paraId="4C3B8FBE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10  TabNet 电力负荷预测</w:t>
      </w:r>
    </w:p>
    <w:p w14:paraId="5E04B075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10.1  运行结果</w:t>
      </w:r>
    </w:p>
    <w:p w14:paraId="13A1BFB3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特征重要性柱状图</w:t>
      </w:r>
    </w:p>
    <w:p w14:paraId="195A5737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作用：可解释分析，看哪个特征最重要，看到 Lag_1 前一日负荷贡献最大。</w:t>
      </w:r>
    </w:p>
    <w:p w14:paraId="7C1A9348">
      <w:pPr>
        <w:numPr>
          <w:ilvl w:val="0"/>
          <w:numId w:val="0"/>
        </w:numPr>
        <w:spacing w:before="0" w:after="0" w:line="360" w:lineRule="auto"/>
        <w:ind w:firstLine="480"/>
        <w:jc w:val="both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 xml:space="preserve"> 真实‑预测折线对比图</w:t>
      </w:r>
    </w:p>
    <w:p w14:paraId="4D392E5E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  <w:szCs w:val="24"/>
          <w:b w:val="0"/>
          <w:bCs w:val="0"/>
        </w:rPr>
        <w:t>作用：直观展示电力负荷预测效果，看曲线能跟上真实负荷的起伏，代表预测任务完成。</w:t>
      </w:r>
    </w:p>
    <w:p w14:paraId="09A1044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"Figure_57"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7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图57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A46B80C">
      <w:pPr>
        <w:keepNext w:val="1"/>
        <w:keepLines/>
        <w:spacing w:before="60" w:after="40" w:line="240" w:lineRule="auto"/>
        <w:jc w:val="center"/>
      </w:pPr>
      <w:bookmarkStart w:id="1057" w:name="Figure_57"/>
      <w:bookmarkStart w:id="60" w:name="Figure_57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619455"/>
            <wp:effectExtent l="0" t="0" r="9525" b="4445"/>
            <wp:docPr id="67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6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0"/>
      <w:bookmarkEnd w:id="1057"/>
    </w:p>
    <w:p w14:paraId="7390F6B1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图57  TabNet 特征重要性结果</w:t>
      </w:r>
    </w:p>
    <w:p w14:paraId="4419D396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"Figure_58"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8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图58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4F1F9117">
      <w:pPr>
        <w:keepNext w:val="1"/>
        <w:keepLines/>
        <w:spacing w:before="60" w:after="40" w:line="240" w:lineRule="auto"/>
        <w:jc w:val="center"/>
      </w:pPr>
      <w:bookmarkStart w:id="1058" w:name="Figure_58"/>
      <w:bookmarkStart w:id="61" w:name="Figure_58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349455"/>
            <wp:effectExtent l="0" t="0" r="11430" b="12065"/>
            <wp:docPr id="68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6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1"/>
      <w:bookmarkEnd w:id="1058"/>
    </w:p>
    <w:p w14:paraId="763761AD">
      <w:pPr>
        <w:pStyle w:val="34"/>
        <w:keepLines w:val="1"/>
        <w:spacing w:before="0" w:after="120" w:line="240" w:lineRule="auto"/>
        <w:jc w:val="center"/>
        <w:rPr>
          <w:rFonts w:ascii="Times New Roman" w:hAnsi="Times New Roman" w:eastAsia="宋体"/>
          <w:sz w:val="21"/>
        </w:rPr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图58  TabNet 真实值与预测值对比</w:t>
      </w:r>
    </w:p>
    <w:p w14:paraId="7673D23A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"Figure_59"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59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图59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3E79B4FA">
      <w:pPr>
        <w:pStyle w:val="34"/>
        <w:keepNext w:val="1"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59" w:name="Figure_59"/>
      <w:bookmarkStart w:id="62" w:name="Figure_59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943346"/>
            <wp:effectExtent l="0" t="0" r="0" b="0"/>
            <wp:docPr id="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94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2"/>
      <w:bookmarkEnd w:id="1059"/>
    </w:p>
    <w:p w14:paraId="23B78169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图59  TabNet 参数量及特征重要性数值</w:t>
      </w:r>
    </w:p>
    <w:p w14:paraId="7D9E0DF9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"Figure_60"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0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图60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BDC3E2A">
      <w:pPr>
        <w:pStyle w:val="34"/>
        <w:keepNext w:val="1"/>
        <w:keepLines/>
        <w:spacing w:before="60" w:after="40" w:line="240" w:lineRule="auto"/>
        <w:jc w:val="center"/>
        <w:rPr>
          <w:rFonts w:ascii="Times New Roman" w:hAnsi="Times New Roman" w:eastAsia="宋体"/>
          <w:sz w:val="21"/>
        </w:rPr>
      </w:pPr>
      <w:bookmarkStart w:id="1060" w:name="Figure_60"/>
      <w:bookmarkStart w:id="63" w:name="Figure_60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802358"/>
            <wp:effectExtent l="0" t="0" r="8255" b="5080"/>
            <wp:docPr id="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0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3"/>
      <w:bookmarkEnd w:id="1060"/>
    </w:p>
    <w:p w14:paraId="59BB51A0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图60  TabNet 测试指标与特征重要性输出</w:t>
      </w:r>
    </w:p>
    <w:p w14:paraId="758B2580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本实验按时间顺序将前80%样本作为训练集、后20%作为测试集，并仅用训练集拟合标准化器。修正目标泄漏后，TabNet在第33轮取得最佳结果，训练时间为31.79秒；标准化尺度下MAE=0.3267、RMSE=0.4785、R²=0.8186。特征重要性图仍表明Lag_1是关键输入，说明前一日负荷对当天负荷具有较强解释力。预测曲线能够跟随主要周期变化，但在突发尖峰和低谷处仍存在较大偏差。</w:t>
      </w:r>
    </w:p>
    <w:p w14:paraId="663ECB48">
      <w:pPr>
        <w:pStyle w:val="2"/>
        <w:numPr>
          <w:ilvl w:val="0"/>
          <w:numId w:val="0"/>
        </w:numPr>
        <w:bidi w:val="0"/>
        <w:spacing w:before="340" w:after="33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44"/>
          <w:szCs w:val="44"/>
          <w:bCs w:val="1"/>
        </w:rPr>
        <w:t>11  FT-Transformer 电力负荷预测</w:t>
      </w:r>
    </w:p>
    <w:p w14:paraId="66149F40">
      <w:pPr>
        <w:pStyle w:val="3"/>
        <w:numPr>
          <w:ilvl w:val="0"/>
          <w:numId w:val="0"/>
        </w:numPr>
        <w:spacing w:before="260" w:after="260" w:line="24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11.1  FT-Transformer 电力负荷预测结果</w:t>
      </w:r>
    </w:p>
    <w:p w14:paraId="56DEC1AC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"Figure_61"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1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图61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2868FD7C">
      <w:pPr>
        <w:keepNext w:val="1"/>
        <w:keepLines/>
        <w:numPr>
          <w:ilvl w:val="0"/>
          <w:numId w:val="0"/>
        </w:numPr>
        <w:spacing w:before="60" w:after="40" w:line="240" w:lineRule="auto"/>
        <w:jc w:val="center"/>
      </w:pPr>
      <w:bookmarkStart w:id="1061" w:name="Figure_61"/>
      <w:bookmarkStart w:id="64" w:name="Figure_61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095241"/>
            <wp:effectExtent l="0" t="0" r="6350" b="3810"/>
            <wp:docPr id="5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7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9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4"/>
      <w:bookmarkEnd w:id="1061"/>
    </w:p>
    <w:p w14:paraId="419861EF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图61  FT-Transformer 训练过程</w:t>
      </w:r>
    </w:p>
    <w:p w14:paraId="2ABC36EE"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相关操作或实验结果如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"Figure_62"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Figure_62" w:history="1">
        <w:r>
          <w:rPr>
            <w:rFonts w:ascii="Times New Roman" w:hAnsi="Times New Roman" w:eastAsia="宋体" w:cs="Times New Roman"/>
            <w:color w:val="0563C1"/>
            <w:sz w:val="24"/>
            <w:u w:val="single"/>
            <w:szCs w:val="24"/>
            <w:b w:val="0"/>
            <w:bCs w:val="0"/>
          </w:rPr>
          <w:t>图62</w:t>
        </w:r>
      </w:hyperlink>
      <w:r>
        <w:rPr>
          <w:rFonts w:ascii="Times New Roman" w:hAnsi="Times New Roman" w:eastAsia="宋体" w:cs="Times New Roman"/>
          <w:color w:val="0563C1"/>
          <w:sz w:val="24"/>
          <w:u w:val="single"/>
          <w:szCs w:val="24"/>
          <w:b w:val="0"/>
          <w:bCs w:val="0"/>
        </w:rPr>
        <w:fldChar w:fldCharType="end"/>
      </w: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所示。</w:t>
      </w:r>
    </w:p>
    <w:p w14:paraId="51FE84D1">
      <w:pPr>
        <w:keepNext w:val="1"/>
        <w:keepLines/>
        <w:spacing w:before="60" w:after="40" w:line="240" w:lineRule="auto"/>
        <w:jc w:val="center"/>
      </w:pPr>
      <w:bookmarkStart w:id="1062" w:name="Figure_62"/>
      <w:bookmarkStart w:id="65" w:name="Figure_62"/>
      <w:r>
        <w:rPr>
          <w:rFonts w:ascii="Times New Roman" w:hAnsi="Times New Roman" w:eastAsia="宋体"/>
          <w:color w:val="000000"/>
          <w:sz w:val="24"/>
        </w:rPr>
        <w:drawing>
          <wp:inline distT="0" distB="0" distL="114300" distR="114300">
            <wp:extent cx="3240000" cy="1349455"/>
            <wp:effectExtent l="0" t="0" r="8255" b="13970"/>
            <wp:docPr id="34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8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34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65"/>
      <w:bookmarkEnd w:id="1062"/>
    </w:p>
    <w:p w14:paraId="3FEA8B8B">
      <w:pPr>
        <w:pStyle w:val="34"/>
        <w:keepLines w:val="1"/>
        <w:spacing w:before="0" w:after="120" w:line="240" w:lineRule="auto"/>
        <w:jc w:val="center"/>
      </w:pPr>
      <w:r>
        <w:rPr>
          <w:rFonts w:ascii="Times New Roman" w:hAnsi="Times New Roman" w:eastAsia="宋体" w:cs="Times New Roman"/>
          <w:color w:val="000000"/>
          <w:sz w:val="21"/>
          <w:szCs w:val="21"/>
          <w:b w:val="0"/>
          <w:bCs w:val="0"/>
        </w:rPr>
        <w:t>图62  FT-Transformer 真实值与预测值对比</w:t>
      </w:r>
    </w:p>
    <w:p w14:paraId="48A28F0F">
      <w:pPr>
        <w:pStyle w:val="3"/>
        <w:spacing w:line="240" w:lineRule="auto" w:before="260" w:after="260"/>
        <w:jc w:val="left"/>
      </w:pPr>
      <w:r>
        <w:rPr>
          <w:rFonts w:ascii="Times New Roman" w:hAnsi="Times New Roman" w:eastAsia="黑体" w:cs="Times New Roman"/>
          <w:b w:val="1"/>
          <w:color w:val="000000"/>
          <w:sz w:val="30"/>
          <w:szCs w:val="30"/>
          <w:bCs w:val="1"/>
        </w:rPr>
        <w:t>11.2  统一条件下的模型比较</w:t>
      </w:r>
    </w:p>
    <w:p w14:paraId="05309E62">
      <w:pPr>
        <w:spacing w:line="360" w:lineRule="auto" w:before="0" w:after="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三种模型统一使用Area1_Load工作表的T1200负荷，采用相同的滞后与统计特征、前80%训练/后20%测试的时序划分、随机种子42以及训练集拟合的标准化器。训练时间仅统计模型训练过程；运行环境为5核CPU，因此时间会随硬件变化。</w:t>
      </w:r>
    </w:p>
    <w:p w14:paraId="78D3D936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三种电力负荷预测模型的量化结果见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。</w:t>
      </w:r>
    </w:p>
    <w:p w14:paraId="7C323B3A">
      <w:pPr>
        <w:spacing w:before="0" w:after="120" w:line="240" w:lineRule="auto"/>
        <w:jc w:val="center"/>
      </w:pPr>
      <w:bookmarkStart w:id="2005" w:name="Table_5"/>
      <w:bookmarkStart w:id="66" w:name="Table_5"/>
      <w:r>
        <w:rPr>
          <w:rFonts w:ascii="Times New Roman" w:hAnsi="Times New Roman" w:cs="Times New Roman" w:eastAsia="宋体"/>
          <w:sz w:val="21"/>
          <w:szCs w:val="21"/>
          <w:b w:val="0"/>
          <w:bCs w:val="0"/>
        </w:rPr>
        <w:t>表5  MLP、TabNet与FT-Transformer结果对比</w:t>
      </w:r>
      <w:bookmarkEnd w:id="66"/>
      <w:bookmarkEnd w:id="2005"/>
    </w:p>
    <w:tbl>
      <w:tblPr>
        <w:tblStyle w:val="15"/>
        <w:tblW w:w="416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8"/>
        <w:gridCol w:w="871"/>
        <w:gridCol w:w="797"/>
        <w:gridCol w:w="1129"/>
        <w:gridCol w:w="818"/>
        <w:gridCol w:w="1300"/>
        <w:gridCol w:w="1300"/>
      </w:tblGrid>
      <w:tr w14:paraId="5E46AB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5FCB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模型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2DB14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参数量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15D650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最佳轮次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18F8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训练时间（s）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74AF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MAE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BCFB3BA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RMSE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E344C0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1"/>
                <w:sz w:val="21"/>
                <w:szCs w:val="21"/>
                <w:bCs w:val="1"/>
              </w:rPr>
              <w:t>R²</w:t>
            </w:r>
          </w:p>
        </w:tc>
      </w:tr>
      <w:tr w14:paraId="782EF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DFF6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MLP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8C4D8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13231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6BA7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14B6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7.52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7B94DE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0.2389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27F351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0.4071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DB4D943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0.8687</w:t>
            </w:r>
          </w:p>
        </w:tc>
      </w:tr>
      <w:tr w14:paraId="36BDDA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AF4F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TabNet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994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27140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91B3E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8198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31.79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D7DB52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0.3267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142F78B7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0.4785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473F3896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0.8186</w:t>
            </w:r>
          </w:p>
        </w:tc>
      </w:tr>
      <w:tr w14:paraId="1AD5C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488C5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FT-Transformer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31F5CB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599425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AA32DF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120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31E1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96.94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149E41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0.2331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3C72AD4D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0.4061</w:t>
            </w:r>
          </w:p>
        </w:tc>
        <w:tc>
          <w:tcPr>
            <w:tcW w:w="1300" w:type="dxa"/>
            <w:shd w:val="clear" w:color="auto" w:fill="auto"/>
            <w:vAlign w:val="center"/>
          </w:tcPr>
          <w:p w14:paraId="76CBDDC9"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sz w:val="21"/>
                <w:szCs w:val="21"/>
                <w:bCs w:val="0"/>
              </w:rPr>
              <w:t>0.8694</w:t>
            </w:r>
          </w:p>
        </w:tc>
      </w:tr>
    </w:tbl>
    <w:p w14:paraId="2AAF3445">
      <w:pPr>
        <w:spacing w:before="0" w:after="0" w:line="360" w:lineRule="auto"/>
        <w:ind w:firstLine="480"/>
        <w:jc w:val="both"/>
      </w:pP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由</w: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begin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instrText xml:space="preserve"> HYPERLINK \l "Table_5" </w:instrText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fldChar w:fldCharType="separate"/>
      </w:r>
      <w:hyperlink w:anchor="Table_5" w:history="1">
        <w:r>
          <w:rPr>
            <w:rFonts w:ascii="Times New Roman" w:hAnsi="Times New Roman" w:cs="Times New Roman" w:eastAsia="宋体"/>
            <w:color w:val="0563C1"/>
            <w:u w:val="single"/>
            <w:sz w:val="24"/>
            <w:szCs w:val="24"/>
            <w:b w:val="0"/>
            <w:bCs w:val="0"/>
          </w:rPr>
          <w:t>表5</w:t>
        </w:r>
      </w:hyperlink>
      <w:r>
        <w:rPr>
          <w:rFonts w:ascii="Times New Roman" w:hAnsi="Times New Roman" w:cs="Times New Roman" w:eastAsia="宋体"/>
          <w:color w:val="0563C1"/>
          <w:u w:val="single"/>
          <w:sz w:val="24"/>
          <w:szCs w:val="24"/>
          <w:b w:val="0"/>
          <w:bCs w:val="0"/>
        </w:rPr>
        <w:fldChar w:fldCharType="end"/>
      </w:r>
      <w:r>
        <w:rPr>
          <w:rFonts w:ascii="Times New Roman" w:hAnsi="Times New Roman" w:cs="Times New Roman" w:eastAsia="宋体"/>
          <w:sz w:val="24"/>
          <w:szCs w:val="24"/>
          <w:b w:val="0"/>
          <w:bCs w:val="0"/>
        </w:rPr>
        <w:t>可知，在统一且无目标泄漏的评价条件下，FT-Transformer的R²最高（0.8694），但训练时间最长（96.94秒），参数量也显著高于另外两种模型；MLP的R²为0.8687，与FT-Transformer非常接近，而训练仅需7.52秒，体现出更好的计算效率；TabNet的R²为0.8186，训练时间为31.79秒，本次设置下精度低于MLP和FT-Transformer，但其特征重要性提供了更直接的可解释结果。综合精度和效率，MLP是本实验中更均衡的方案。</w:t>
      </w:r>
    </w:p>
    <w:p w14:paraId="02472C83">
      <w:pPr>
        <w:numPr>
          <w:ilvl w:val="0"/>
          <w:numId w:val="0"/>
        </w:num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color w:val="000000"/>
          <w:sz w:val="24"/>
          <w:szCs w:val="24"/>
          <w:b w:val="0"/>
          <w:bCs w:val="0"/>
        </w:rPr>
        <w:t>修正连续特征映射层后，FT-Transformer的参数量为599,425，在第120轮获得最佳结果：标准化尺度下MAE=0.2331、RMSE=0.4061、R²=0.8694。其预测曲线能够跟随整体趋势和周期变化，但对突发尖峰与骤降的拟合仍较弱。与MLP相比，FT-Transformer的R²仅提高约0.0007，却增加了参数量和训练时间，说明当前样本规模下复杂注意力结构未带来明显收益。</w:t>
      </w:r>
      <w:bookmarkStart w:id="67" w:name="_GoBack"/>
      <w:bookmarkEnd w:id="67"/>
    </w:p>
    <w:sectPr>
      <w:footerReference r:id="rId3" w:type="default"/>
      <w:pgSz w:w="11906" w:h="16838"/>
      <w:pgMar w:top="993" w:right="1133" w:bottom="851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43057154"/>
      <w:docPartObj>
        <w:docPartGallery w:val="autotext"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51D2C555">
        <w:pPr>
          <w:pStyle w:val="8"/>
          <w:jc w:val="center"/>
          <w:rPr>
            <w:rFonts w:ascii="Times New Roman" w:hAnsi="Times New Roman" w:cs="Times New Roman"/>
            <w:sz w:val="21"/>
            <w:szCs w:val="21"/>
          </w:rPr>
        </w:pPr>
        <w:r>
          <w:rPr>
            <w:rFonts w:ascii="Times New Roman" w:hAnsi="Times New Roman" w:cs="Times New Roman"/>
            <w:sz w:val="21"/>
            <w:szCs w:val="21"/>
          </w:rPr>
          <w:fldChar w:fldCharType="begin"/>
        </w:r>
        <w:r>
          <w:rPr>
            <w:rFonts w:ascii="Times New Roman" w:hAnsi="Times New Roman" w:cs="Times New Roman"/>
            <w:sz w:val="21"/>
            <w:szCs w:val="21"/>
          </w:rPr>
          <w:instrText xml:space="preserve">PAGE   \* MERGEFORMAT</w:instrText>
        </w:r>
        <w:r>
          <w:rPr>
            <w:rFonts w:ascii="Times New Roman" w:hAnsi="Times New Roman" w:cs="Times New Roman"/>
            <w:sz w:val="21"/>
            <w:szCs w:val="21"/>
          </w:rPr>
          <w:fldChar w:fldCharType="separate"/>
        </w:r>
        <w:r>
          <w:rPr>
            <w:rFonts w:ascii="Times New Roman" w:hAnsi="Times New Roman" w:cs="Times New Roman"/>
            <w:sz w:val="21"/>
            <w:szCs w:val="21"/>
            <w:lang w:val="zh-CN"/>
          </w:rPr>
          <w:t>3</w:t>
        </w:r>
        <w:r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1DE941A5">
    <w:pPr>
      <w:pStyle w:val="8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4487E"/>
    <w:multiLevelType w:val="singleLevel"/>
    <w:tmpl w:val="90D4487E"/>
    <w:lvl w:ilvl="0" w:tentative="0">
      <w:start w:val="3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2B1B0B5C"/>
    <w:multiLevelType w:val="singleLevel"/>
    <w:tmpl w:val="2B1B0B5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ZlYjcxNjc5ODdjMGNiMGEzNmMwZmQwY2JhZTgzZjUifQ=="/>
  </w:docVars>
  <w:rsids>
    <w:rsidRoot w:val="00647362"/>
    <w:rsid w:val="0000539A"/>
    <w:rsid w:val="00017820"/>
    <w:rsid w:val="00034CBF"/>
    <w:rsid w:val="00041B7D"/>
    <w:rsid w:val="0005082E"/>
    <w:rsid w:val="00055BF5"/>
    <w:rsid w:val="000674E3"/>
    <w:rsid w:val="000A004B"/>
    <w:rsid w:val="000A2960"/>
    <w:rsid w:val="000B6FB2"/>
    <w:rsid w:val="00113B06"/>
    <w:rsid w:val="001448D6"/>
    <w:rsid w:val="00150D6B"/>
    <w:rsid w:val="001567D1"/>
    <w:rsid w:val="001A4140"/>
    <w:rsid w:val="001C6DC8"/>
    <w:rsid w:val="001D2B54"/>
    <w:rsid w:val="001F3F00"/>
    <w:rsid w:val="00217723"/>
    <w:rsid w:val="00221201"/>
    <w:rsid w:val="00240039"/>
    <w:rsid w:val="00242966"/>
    <w:rsid w:val="002764D6"/>
    <w:rsid w:val="00276AFF"/>
    <w:rsid w:val="002904F4"/>
    <w:rsid w:val="002B0F60"/>
    <w:rsid w:val="002D3593"/>
    <w:rsid w:val="002F57A3"/>
    <w:rsid w:val="00312A04"/>
    <w:rsid w:val="00324573"/>
    <w:rsid w:val="00365CD1"/>
    <w:rsid w:val="003B5758"/>
    <w:rsid w:val="003D06FB"/>
    <w:rsid w:val="003D7338"/>
    <w:rsid w:val="003F6AB7"/>
    <w:rsid w:val="00430ADB"/>
    <w:rsid w:val="004E4388"/>
    <w:rsid w:val="004E7C7C"/>
    <w:rsid w:val="004F1AAE"/>
    <w:rsid w:val="00521709"/>
    <w:rsid w:val="00534442"/>
    <w:rsid w:val="0056117F"/>
    <w:rsid w:val="00570488"/>
    <w:rsid w:val="00570CB2"/>
    <w:rsid w:val="005E1E5B"/>
    <w:rsid w:val="00647362"/>
    <w:rsid w:val="00647CD8"/>
    <w:rsid w:val="006A0044"/>
    <w:rsid w:val="006C620D"/>
    <w:rsid w:val="006E6117"/>
    <w:rsid w:val="006E7D35"/>
    <w:rsid w:val="007123B2"/>
    <w:rsid w:val="00751253"/>
    <w:rsid w:val="00763E63"/>
    <w:rsid w:val="00777A0D"/>
    <w:rsid w:val="007810AD"/>
    <w:rsid w:val="007871A0"/>
    <w:rsid w:val="00790B3E"/>
    <w:rsid w:val="00797719"/>
    <w:rsid w:val="007A3A0B"/>
    <w:rsid w:val="007C6316"/>
    <w:rsid w:val="008535DC"/>
    <w:rsid w:val="008A0B6F"/>
    <w:rsid w:val="008A0B91"/>
    <w:rsid w:val="008A7AB5"/>
    <w:rsid w:val="008D4A72"/>
    <w:rsid w:val="00917129"/>
    <w:rsid w:val="00975E44"/>
    <w:rsid w:val="00995154"/>
    <w:rsid w:val="009B5836"/>
    <w:rsid w:val="009B6C2A"/>
    <w:rsid w:val="00A01D11"/>
    <w:rsid w:val="00A1253E"/>
    <w:rsid w:val="00A152A6"/>
    <w:rsid w:val="00A76B03"/>
    <w:rsid w:val="00AC4436"/>
    <w:rsid w:val="00B064B9"/>
    <w:rsid w:val="00B70572"/>
    <w:rsid w:val="00B937C4"/>
    <w:rsid w:val="00B954BB"/>
    <w:rsid w:val="00BB654B"/>
    <w:rsid w:val="00C00323"/>
    <w:rsid w:val="00C14983"/>
    <w:rsid w:val="00C367A0"/>
    <w:rsid w:val="00C8096F"/>
    <w:rsid w:val="00C861BA"/>
    <w:rsid w:val="00CA28AC"/>
    <w:rsid w:val="00CA50DD"/>
    <w:rsid w:val="00CD3E86"/>
    <w:rsid w:val="00CF79B6"/>
    <w:rsid w:val="00D437EE"/>
    <w:rsid w:val="00D70738"/>
    <w:rsid w:val="00D87214"/>
    <w:rsid w:val="00DC68F4"/>
    <w:rsid w:val="00DE36C4"/>
    <w:rsid w:val="00E370CA"/>
    <w:rsid w:val="00E44EE7"/>
    <w:rsid w:val="00E65AEC"/>
    <w:rsid w:val="00E75C17"/>
    <w:rsid w:val="00EB4809"/>
    <w:rsid w:val="00EB58FF"/>
    <w:rsid w:val="00EF451C"/>
    <w:rsid w:val="00F62B7D"/>
    <w:rsid w:val="00F712BD"/>
    <w:rsid w:val="00F74E7B"/>
    <w:rsid w:val="00FE465D"/>
    <w:rsid w:val="03F60FF6"/>
    <w:rsid w:val="05EF65B1"/>
    <w:rsid w:val="06085F31"/>
    <w:rsid w:val="075F6EB2"/>
    <w:rsid w:val="0F9D2C6D"/>
    <w:rsid w:val="10594DE6"/>
    <w:rsid w:val="17CE7E68"/>
    <w:rsid w:val="1A181B9F"/>
    <w:rsid w:val="20D65B6A"/>
    <w:rsid w:val="280F6544"/>
    <w:rsid w:val="294F3DC5"/>
    <w:rsid w:val="2B362276"/>
    <w:rsid w:val="34B85623"/>
    <w:rsid w:val="3D121CF5"/>
    <w:rsid w:val="436505E5"/>
    <w:rsid w:val="444C059D"/>
    <w:rsid w:val="4F986114"/>
    <w:rsid w:val="5D9E5D76"/>
    <w:rsid w:val="6A7321DD"/>
    <w:rsid w:val="6DF800C1"/>
    <w:rsid w:val="72A76461"/>
    <w:rsid w:val="7B307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name="toc 1"/>
    <w:lsdException w:qFormat="1"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HAnsi" w:hAnsiTheme="minorHAnsi" w:eastAsiaTheme="minorEastAsia" w:cstheme="minorBidi" w:ascii="Times New Roman" w:hAnsi="Times New Roman" w:eastAsia="宋体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黑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4"/>
    <w:link w:val="29"/>
    <w:qFormat/>
    <w:uiPriority w:val="0"/>
    <w:pPr>
      <w:keepNext/>
      <w:keepLines/>
      <w:spacing w:before="260" w:after="260" w:line="416" w:lineRule="auto"/>
      <w:outlineLvl w:val="1"/>
    </w:pPr>
    <w:rPr>
      <w:rFonts w:ascii="Times New Roman" w:hAnsi="Times New Roman" w:eastAsia="黑体" w:cs="Times New Roman"/>
      <w:b/>
      <w:bCs/>
      <w:sz w:val="30"/>
      <w:szCs w:val="32"/>
    </w:rPr>
  </w:style>
  <w:style w:type="paragraph" w:styleId="5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Times New Roman" w:hAnsi="Times New Roman" w:eastAsia="黑体" w:cs="宋体"/>
      <w:b/>
      <w:bCs/>
      <w:kern w:val="0"/>
      <w:sz w:val="28"/>
      <w:szCs w:val="27"/>
      <w:lang w:val="en-US" w:eastAsia="zh-CN" w:bidi="ar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/>
    </w:pPr>
  </w:style>
  <w:style w:type="paragraph" w:styleId="6">
    <w:name w:val="annotation text"/>
    <w:basedOn w:val="1"/>
    <w:link w:val="30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32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semiHidden/>
    <w:qFormat/>
    <w:uiPriority w:val="0"/>
    <w:pPr>
      <w:spacing w:before="120" w:after="120"/>
      <w:jc w:val="left"/>
    </w:pPr>
    <w:rPr>
      <w:rFonts w:ascii="Times New Roman" w:hAnsi="Times New Roman" w:eastAsia="宋体" w:cs="Times New Roman"/>
      <w:b/>
      <w:bCs/>
      <w:caps/>
      <w:sz w:val="20"/>
      <w:szCs w:val="20"/>
    </w:rPr>
  </w:style>
  <w:style w:type="paragraph" w:styleId="11">
    <w:name w:val="toc 2"/>
    <w:basedOn w:val="1"/>
    <w:next w:val="1"/>
    <w:semiHidden/>
    <w:qFormat/>
    <w:uiPriority w:val="0"/>
    <w:pPr>
      <w:ind w:left="210"/>
      <w:jc w:val="left"/>
    </w:pPr>
    <w:rPr>
      <w:rFonts w:ascii="Times New Roman" w:hAnsi="Times New Roman" w:eastAsia="宋体" w:cs="Times New Roman"/>
      <w:smallCaps/>
      <w:sz w:val="20"/>
      <w:szCs w:val="20"/>
    </w:rPr>
  </w:style>
  <w:style w:type="paragraph" w:styleId="1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annotation subject"/>
    <w:basedOn w:val="6"/>
    <w:next w:val="6"/>
    <w:link w:val="31"/>
    <w:semiHidden/>
    <w:unhideWhenUsed/>
    <w:uiPriority w:val="99"/>
    <w:rPr>
      <w:b/>
      <w:bCs/>
    </w:rPr>
  </w:style>
  <w:style w:type="table" w:styleId="16">
    <w:name w:val="Table Grid"/>
    <w:basedOn w:val="1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page number"/>
    <w:basedOn w:val="17"/>
    <w:uiPriority w:val="0"/>
  </w:style>
  <w:style w:type="character" w:styleId="20">
    <w:name w:val="Hyperlink"/>
    <w:basedOn w:val="17"/>
    <w:qFormat/>
    <w:uiPriority w:val="0"/>
    <w:rPr>
      <w:color w:val="0000FF"/>
      <w:u w:val="single"/>
    </w:rPr>
  </w:style>
  <w:style w:type="character" w:styleId="21">
    <w:name w:val="HTML Code"/>
    <w:basedOn w:val="17"/>
    <w:uiPriority w:val="0"/>
    <w:rPr>
      <w:rFonts w:ascii="Courier New" w:hAnsi="Courier New"/>
      <w:sz w:val="20"/>
    </w:rPr>
  </w:style>
  <w:style w:type="character" w:styleId="22">
    <w:name w:val="annotation reference"/>
    <w:basedOn w:val="17"/>
    <w:semiHidden/>
    <w:unhideWhenUsed/>
    <w:uiPriority w:val="99"/>
    <w:rPr>
      <w:sz w:val="21"/>
      <w:szCs w:val="21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页眉 字符"/>
    <w:basedOn w:val="17"/>
    <w:link w:val="9"/>
    <w:uiPriority w:val="99"/>
    <w:rPr>
      <w:sz w:val="18"/>
      <w:szCs w:val="18"/>
    </w:rPr>
  </w:style>
  <w:style w:type="character" w:customStyle="1" w:styleId="25">
    <w:name w:val="页脚 字符"/>
    <w:basedOn w:val="17"/>
    <w:link w:val="8"/>
    <w:qFormat/>
    <w:uiPriority w:val="99"/>
    <w:rPr>
      <w:sz w:val="18"/>
      <w:szCs w:val="18"/>
    </w:rPr>
  </w:style>
  <w:style w:type="character" w:customStyle="1" w:styleId="26">
    <w:name w:val="标题 1 字符"/>
    <w:basedOn w:val="17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字符"/>
    <w:basedOn w:val="17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8">
    <w:name w:val="标题 1 字符1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9">
    <w:name w:val="标题 2 字符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30">
    <w:name w:val="批注文字 字符"/>
    <w:basedOn w:val="17"/>
    <w:link w:val="6"/>
    <w:semiHidden/>
    <w:qFormat/>
    <w:uiPriority w:val="99"/>
    <w:rPr>
      <w:kern w:val="2"/>
      <w:sz w:val="21"/>
      <w:szCs w:val="22"/>
    </w:rPr>
  </w:style>
  <w:style w:type="character" w:customStyle="1" w:styleId="31">
    <w:name w:val="批注主题 字符"/>
    <w:basedOn w:val="30"/>
    <w:link w:val="14"/>
    <w:semiHidden/>
    <w:qFormat/>
    <w:uiPriority w:val="99"/>
    <w:rPr>
      <w:b/>
      <w:bCs/>
      <w:kern w:val="2"/>
      <w:sz w:val="21"/>
      <w:szCs w:val="22"/>
    </w:rPr>
  </w:style>
  <w:style w:type="character" w:customStyle="1" w:styleId="32">
    <w:name w:val="批注框文本 字符"/>
    <w:basedOn w:val="17"/>
    <w:link w:val="7"/>
    <w:semiHidden/>
    <w:uiPriority w:val="99"/>
    <w:rPr>
      <w:kern w:val="2"/>
      <w:sz w:val="18"/>
      <w:szCs w:val="18"/>
    </w:rPr>
  </w:style>
  <w:style w:type="paragraph" w:customStyle="1" w:styleId="33">
    <w:name w:val="heading 3"/>
    <w:basedOn w:val="1"/>
    <w:uiPriority w:val="0"/>
  </w:style>
  <w:style w:type="paragraph" w:customStyle="1" w:styleId="34">
    <w:name w:val="caption"/>
    <w:basedOn w:val="1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9" Type="http://schemas.openxmlformats.org/officeDocument/2006/relationships/fontTable" Target="fontTable.xml"/><Relationship Id="rId68" Type="http://schemas.openxmlformats.org/officeDocument/2006/relationships/customXml" Target="../customXml/item1.xml"/><Relationship Id="rId67" Type="http://schemas.openxmlformats.org/officeDocument/2006/relationships/numbering" Target="numbering.xml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C180A5-5154-4282-A637-82181D8349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33</Pages>
  <Words>194</Words>
  <Characters>345</Characters>
  <Lines>3</Lines>
  <Paragraphs>1</Paragraphs>
  <TotalTime>9</TotalTime>
  <ScaleCrop>false</ScaleCrop>
  <LinksUpToDate>false</LinksUpToDate>
  <CharactersWithSpaces>379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2019-01-07T06:05:00Z</dcterms:created>
  <dc:creator>xing</dc:creator>
  <cp:lastModifiedBy>,,,,</cp:lastModifiedBy>
  <cp:lastPrinted>2019-01-07T07:10:00Z</cp:lastPrinted>
  <dcterms:modified xsi:type="dcterms:W3CDTF">2026-10-26T07:23:26Z</dcterms:modified>
  <dc:subject>课程实验结果、问题分析与模型比较</dc:subject>
  <dc:title>《深度学习案例与实践》实验报告（图片缩小紧凑版）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80F4CE03A2084A04B5F255E50C3CB52F_13</vt:lpwstr>
  </property>
  <property fmtid="{D5CDD505-2E9C-101B-9397-08002B2CF9AE}" pid="4" name="KSOTemplateDocerSaveRecord">
    <vt:lpwstr>eyJoZGlkIjoiYzE4ODM4OGNjMjg4NzA0NDQyOTRlNGUzYTcxOTI1ZDQiLCJ1c2VySWQiOiIxMjYxOTIyNDg2In0=</vt:lpwstr>
  </property>
</Properties>
</file>