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before="0" w:after="0" w:line="240" w:lineRule="auto"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华文中宋" w:cs="Times New Roman"/>
          <w:b/>
          <w:bCs/>
          <w:color w:val="000000"/>
          <w:sz w:val="72"/>
          <w:szCs w:val="72"/>
        </w:rPr>
        <w:t>《深度学习案例与实践》</w:t>
      </w:r>
    </w:p>
    <w:p w14:paraId="230EE91B">
      <w:pPr>
        <w:spacing w:before="0" w:after="0" w:line="240" w:lineRule="auto"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华文中宋" w:cs="Times New Roman"/>
          <w:b/>
          <w:bCs/>
          <w:color w:val="000000"/>
          <w:sz w:val="72"/>
          <w:szCs w:val="72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5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bCs w:val="0"/>
                <w:kern w:val="10"/>
                <w:sz w:val="30"/>
                <w:szCs w:val="30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5848E31F">
            <w:pPr>
              <w:spacing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0"/>
                <w:szCs w:val="30"/>
                <w:lang w:val="en-US" w:eastAsia="zh-CN"/>
              </w:rPr>
              <w:t>计算机科学与工程学院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bCs w:val="0"/>
                <w:kern w:val="10"/>
                <w:sz w:val="30"/>
                <w:szCs w:val="30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AF973C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0"/>
                <w:szCs w:val="30"/>
                <w:lang w:val="en-US" w:eastAsia="zh-CN"/>
              </w:rPr>
              <w:t>通信工程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bCs w:val="0"/>
                <w:kern w:val="10"/>
                <w:sz w:val="30"/>
                <w:szCs w:val="30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8FD43A">
            <w:pPr>
              <w:spacing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0"/>
                <w:szCs w:val="30"/>
                <w:lang w:val="en-US" w:eastAsia="zh-CN"/>
              </w:rPr>
              <w:t>2672578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bCs w:val="0"/>
                <w:kern w:val="10"/>
                <w:sz w:val="30"/>
                <w:szCs w:val="30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1991AE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30"/>
                <w:szCs w:val="30"/>
                <w:lang w:val="en-US" w:eastAsia="zh-CN"/>
              </w:rPr>
              <w:t>付镇远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03E6DFE5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18"/>
        </w:rPr>
        <w:br w:type="page"/>
      </w:r>
    </w:p>
    <w:p w14:paraId="75235A59">
      <w:pPr>
        <w:pStyle w:val="2"/>
        <w:spacing w:before="340" w:after="33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1  Anaconda 下载与环境配置</w:t>
      </w:r>
    </w:p>
    <w:p w14:paraId="07A0EBB3">
      <w:pPr>
        <w:pStyle w:val="3"/>
        <w:spacing w:before="260" w:after="260" w:line="24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1.1  下载页面</w:t>
      </w:r>
    </w:p>
    <w:p w14:paraId="014510EC">
      <w:p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1.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图1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31E63A7">
      <w:pPr>
        <w:keepNext/>
        <w:keepLines/>
        <w:spacing w:before="60" w:after="40" w:line="240" w:lineRule="auto"/>
        <w:jc w:val="center"/>
      </w:pPr>
      <w:bookmarkStart w:id="0" w:name="Figure_1"/>
      <w:bookmarkStart w:id="1" w:name="Figure_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564005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6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14:paraId="66DACDE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  Anaconda 官方下载页面</w:t>
      </w:r>
    </w:p>
    <w:p w14:paraId="7079FCF6">
      <w:pPr>
        <w:pStyle w:val="13"/>
        <w:keepLines w:val="0"/>
        <w:widowControl/>
        <w:suppressLineNumbers w:val="0"/>
        <w:spacing w:before="0" w:after="0" w:line="360" w:lineRule="auto"/>
        <w:ind w:right="720"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不要点绿色</w:t>
      </w:r>
      <w:r>
        <w:rPr>
          <w:rStyle w:val="21"/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Get Started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，那个会要求注册账号。直接用</w:t>
      </w:r>
      <w:r>
        <w:rPr>
          <w:rStyle w:val="18"/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Skip Registration 跳过注册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，绕开登录即可下载安装包。</w:t>
      </w:r>
    </w:p>
    <w:p w14:paraId="7DB6569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3.官网下载慢，用清华的镜像网站</w:t>
      </w:r>
    </w:p>
    <w:p w14:paraId="31F42B9B">
      <w:pPr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fldChar w:fldCharType="separate"/>
      </w:r>
      <w:r>
        <w:rPr>
          <w:rStyle w:val="20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https://mirrors.tuna.tsinghua.edu.cn/anaconda/archive/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找到最新版本的 Anaconda3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xxx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Windows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noBreakHyphen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x86_64.exe 下载。</w:t>
      </w:r>
    </w:p>
    <w:p w14:paraId="5A933CC6">
      <w:p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4.</w:t>
      </w:r>
    </w:p>
    <w:p w14:paraId="7DEBC6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图2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FCC7614">
      <w:pPr>
        <w:keepNext/>
        <w:keepLines/>
        <w:spacing w:before="60" w:after="40" w:line="240" w:lineRule="auto"/>
        <w:jc w:val="center"/>
      </w:pPr>
      <w:bookmarkStart w:id="2" w:name="Figure_2"/>
      <w:bookmarkStart w:id="3" w:name="Figure_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36207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6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  <w:bookmarkEnd w:id="3"/>
    </w:p>
    <w:p w14:paraId="31143EAA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  Anaconda 发行版选择页面</w:t>
      </w:r>
    </w:p>
    <w:p w14:paraId="4A0E0269"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选择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Anaconda Distribution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这个</w:t>
      </w:r>
    </w:p>
    <w:p w14:paraId="081DD1BE">
      <w:pPr>
        <w:spacing w:before="0" w:after="0"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5.检验是否安装</w:t>
      </w:r>
    </w:p>
    <w:p w14:paraId="147A5078">
      <w:pPr>
        <w:spacing w:before="0" w:after="0" w:line="360" w:lineRule="auto"/>
        <w:ind w:firstLine="480"/>
        <w:jc w:val="both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输入win+R，控制面板内输入conda出现下图所示，说明安装成</w:t>
      </w:r>
    </w:p>
    <w:p w14:paraId="2AE3A1A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0318F5A">
      <w:pPr>
        <w:keepNext/>
        <w:keepLines/>
        <w:spacing w:before="60" w:after="40" w:line="240" w:lineRule="auto"/>
        <w:jc w:val="center"/>
      </w:pPr>
      <w:bookmarkStart w:id="4" w:name="Figure_3"/>
      <w:bookmarkStart w:id="5" w:name="Figure_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91640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91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  <w:bookmarkEnd w:id="5"/>
    </w:p>
    <w:p w14:paraId="2F2394B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  Conda 命令检验</w:t>
      </w:r>
    </w:p>
    <w:p w14:paraId="6B36B0C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图4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2B81B27">
      <w:pPr>
        <w:keepNext/>
        <w:keepLines/>
        <w:spacing w:before="60" w:after="40" w:line="240" w:lineRule="auto"/>
        <w:jc w:val="center"/>
      </w:pPr>
      <w:bookmarkStart w:id="6" w:name="Figure_4"/>
      <w:bookmarkStart w:id="7" w:name="Figure_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79575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7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  <w:bookmarkEnd w:id="7"/>
    </w:p>
    <w:p w14:paraId="56BAEAA5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2  CPU 版 PyTorch 安装与张量测试</w:t>
      </w:r>
    </w:p>
    <w:p w14:paraId="56B3E40F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打开Anaconda Prompt</w:t>
      </w:r>
    </w:p>
    <w:p w14:paraId="4D65C14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图5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3050A78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8" w:name="Figure_5"/>
      <w:bookmarkStart w:id="9" w:name="Figure_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546735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4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  <w:bookmarkEnd w:id="9"/>
    </w:p>
    <w:p w14:paraId="54F8E83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  Anaconda Prompt 界面</w:t>
      </w:r>
    </w:p>
    <w:p w14:paraId="28664ACD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输入指令conda create -n pytorch Python=3.12.7</w:t>
      </w:r>
    </w:p>
    <w:p w14:paraId="2DC9D61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"Figure_6"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图6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28E0DE0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" w:name="Figure_6"/>
      <w:bookmarkStart w:id="11" w:name="Figure_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389380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  <w:bookmarkEnd w:id="11"/>
    </w:p>
    <w:p w14:paraId="48314FB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图6  PyTorch 虚拟环境创建结果</w:t>
      </w:r>
    </w:p>
    <w:p w14:paraId="3A2D8446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安装成功</w:t>
      </w:r>
    </w:p>
    <w:p w14:paraId="7803CEFC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3.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激活虚拟环境</w:t>
      </w:r>
    </w:p>
    <w:p w14:paraId="5A8B83A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"Figure_7"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图7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BE664E7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2" w:name="Figure_7"/>
      <w:bookmarkStart w:id="13" w:name="Figure_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12775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1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"/>
      <w:bookmarkEnd w:id="13"/>
    </w:p>
    <w:p w14:paraId="3E42EAE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图7  PyTorch 虚拟环境激活结果</w:t>
      </w:r>
    </w:p>
    <w:p w14:paraId="34E692D0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成功激活虚拟环境</w:t>
      </w:r>
    </w:p>
    <w:p w14:paraId="628E5249">
      <w:pPr>
        <w:numPr>
          <w:ilvl w:val="0"/>
          <w:numId w:val="0"/>
        </w:numPr>
        <w:spacing w:before="0" w:after="0" w:line="360" w:lineRule="auto"/>
        <w:ind w:left="0" w:leftChars="0" w:firstLine="48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color w:val="000000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在 pytorch环境下，安装 CPU 版 PyTorch</w:t>
      </w:r>
    </w:p>
    <w:p w14:paraId="231F1E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"Figure_8"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图8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E22E8ED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4" w:name="Figure_8"/>
      <w:bookmarkStart w:id="15" w:name="Figure_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87830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8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4"/>
      <w:bookmarkEnd w:id="15"/>
    </w:p>
    <w:p w14:paraId="5E2EF31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图8  CPU 版 PyTorch 安装结果</w:t>
      </w:r>
    </w:p>
    <w:p w14:paraId="41C1F7EA">
      <w:pPr>
        <w:numPr>
          <w:ilvl w:val="0"/>
          <w:numId w:val="1"/>
        </w:numPr>
        <w:bidi w:val="0"/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打印一个张量</w:t>
      </w:r>
    </w:p>
    <w:p w14:paraId="7F66FC8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"Figure_9"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图9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C5EA19C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  <w:rPr>
          <w:rFonts w:hint="default"/>
          <w:lang w:val="en-US" w:eastAsia="zh-CN"/>
        </w:rPr>
      </w:pPr>
      <w:bookmarkStart w:id="16" w:name="Figure_9"/>
      <w:bookmarkStart w:id="17" w:name="Figure_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133600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3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  <w:bookmarkEnd w:id="17"/>
    </w:p>
    <w:p w14:paraId="5671A43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340" w:after="330" w:line="240" w:lineRule="auto"/>
        <w:ind w:left="0" w:leftChars="0" w:firstLine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3  全连接网络手写数字识别</w:t>
      </w:r>
    </w:p>
    <w:p w14:paraId="4A37764F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3.1  基线模型运行结果</w:t>
      </w:r>
    </w:p>
    <w:p w14:paraId="709E301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"Figure_10"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图10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07B9635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8" w:name="Figure_10"/>
      <w:bookmarkStart w:id="19" w:name="Figure_1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588770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8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8"/>
      <w:bookmarkEnd w:id="19"/>
    </w:p>
    <w:p w14:paraId="16C5A77A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图10  全连接网络基线训练过程</w:t>
      </w:r>
    </w:p>
    <w:p w14:paraId="1BD3052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"Figure_11"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图11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CF9D2D5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20" w:name="Figure_11"/>
      <w:bookmarkStart w:id="21" w:name="Figure_1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82470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  <w:bookmarkEnd w:id="21"/>
    </w:p>
    <w:p w14:paraId="15BC6C3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图11  全连接网络基线准确率曲线</w:t>
      </w:r>
    </w:p>
    <w:p w14:paraId="007D305F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3.2  隐藏层宽度调整</w:t>
      </w:r>
    </w:p>
    <w:p w14:paraId="748AFB17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将隐藏层从128改为256，观察准确率变化，将这几段代码的128改为256，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对比之前 128 神经元的准确率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 w14:paraId="52A21BC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"Figure_12"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图12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C3619C7">
      <w:pPr>
        <w:keepNext/>
        <w:keepLines/>
        <w:numPr>
          <w:ilvl w:val="0"/>
          <w:numId w:val="0"/>
        </w:numPr>
        <w:spacing w:before="60" w:after="40" w:line="240" w:lineRule="auto"/>
        <w:jc w:val="center"/>
        <w:rPr>
          <w:rFonts w:hint="eastAsia"/>
          <w:lang w:val="en-US" w:eastAsia="zh-CN"/>
        </w:rPr>
      </w:pPr>
      <w:bookmarkStart w:id="22" w:name="Figure_12"/>
      <w:bookmarkStart w:id="23" w:name="Figure_1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369570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2"/>
      <w:bookmarkEnd w:id="23"/>
    </w:p>
    <w:p w14:paraId="6AE9CE4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图12  隐藏层宽度调整代码</w:t>
      </w:r>
    </w:p>
    <w:p w14:paraId="7E4AD3F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"Figure_13"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图13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CBE3A1A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24" w:name="Figure_13"/>
      <w:bookmarkStart w:id="25" w:name="Figure_1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15795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1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4"/>
      <w:bookmarkEnd w:id="25"/>
    </w:p>
    <w:p w14:paraId="41968C67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图13  隐藏层宽度调整后的训练结果</w:t>
      </w:r>
    </w:p>
    <w:p w14:paraId="502228B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"Figure_14"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图14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648FEFF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26" w:name="Figure_14"/>
      <w:bookmarkStart w:id="27" w:name="Figure_1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36445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6"/>
      <w:bookmarkEnd w:id="27"/>
    </w:p>
    <w:p w14:paraId="7948346B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图14  隐藏层宽度调整后的准确率曲线</w:t>
      </w:r>
    </w:p>
    <w:p w14:paraId="4EC4839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隐藏层宽度实验的量化结果见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"Table_1"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表1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 w14:paraId="02BF8D04">
      <w:pPr>
        <w:spacing w:before="120" w:after="60" w:line="240" w:lineRule="auto"/>
        <w:jc w:val="center"/>
      </w:pPr>
      <w:bookmarkStart w:id="28" w:name="Table_1"/>
      <w:bookmarkStart w:id="29" w:name="Table_1"/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表1  隐藏层宽度对准确率和损失的影响</w:t>
      </w:r>
      <w:bookmarkEnd w:id="28"/>
      <w:bookmarkEnd w:id="29"/>
    </w:p>
    <w:tbl>
      <w:tblPr>
        <w:tblW w:w="5000" w:type="pct"/>
        <w:jc w:val="center"/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2051"/>
        <w:gridCol w:w="2051"/>
        <w:gridCol w:w="1826"/>
        <w:gridCol w:w="1826"/>
      </w:tblGrid>
      <w:tr w14:paraId="36EB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 w:val="1"/>
          <w:jc w:val="center"/>
          <w:cantSplit w:val="1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3A2A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隐藏层神经元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33B6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训练集最终准确率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051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测试集最终准确率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720B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训练集最终损失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A98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测试集最终损失</w:t>
            </w:r>
          </w:p>
        </w:tc>
      </w:tr>
      <w:tr w14:paraId="7B421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404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087D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98.72%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ECB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168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0.0268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F532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0.0313</w:t>
            </w:r>
          </w:p>
        </w:tc>
      </w:tr>
      <w:tr w14:paraId="0FE9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03F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69E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99.01%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20A1D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97.90%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B5C5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0.0199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C52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0.0284</w:t>
            </w:r>
          </w:p>
        </w:tc>
      </w:tr>
    </w:tbl>
    <w:p w14:paraId="7D117D94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将隐藏层神经元数量由 128 修改为 256，本实验组严格控制变量，</w:t>
      </w:r>
      <w:r>
        <w:rPr>
          <w:rStyle w:val="18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数据集划分方式、训练迭代轮数、优化器、学习率、随机种子全部保持一致，仅修改隐藏层神经元个数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，消除其他因素对实验结果带来的干扰，实验结果如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"Table_1"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表1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AAA7FFB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"Table_1"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表1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可以看出，隐藏层神经元从 128 增加到 256 后，训练集准确率由 98.72% 提升至 99.01%，训练损失由 0.0268 降低至 0.0199；测试集准确率由 97.37% 提升至 97.90%，测试损失由 0.0313 降低至 0.0284。增大隐藏层神经元数量扩大了模型容量，模型学习特征的能力变强，在 MNIST 手写数字识别任务上训练、测试指标均有小幅提升。 但需要注意，神经元数量不是越大性能就一定越好。当任务复杂度升高、数据集样本有限时，一味增大神经元数目，会出现训练集效果持续变好，但测试集性能下降的过拟合现象。</w:t>
      </w:r>
    </w:p>
    <w:p w14:paraId="453A8A57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3.3  优化器对比</w:t>
      </w:r>
    </w:p>
    <w:p w14:paraId="60E488A8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将Adam替换成SGD观察收敛速度</w:t>
      </w:r>
    </w:p>
    <w:p w14:paraId="0E212DEA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 w14:paraId="17E4CDC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"Figure_15"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图15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8BDAF13">
      <w:pPr>
        <w:keepNext/>
        <w:keepLines/>
        <w:spacing w:before="60" w:after="40" w:line="240" w:lineRule="auto"/>
        <w:jc w:val="center"/>
      </w:pPr>
      <w:bookmarkStart w:id="30" w:name="Figure_15"/>
      <w:bookmarkStart w:id="31" w:name="Figure_1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223135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2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0"/>
      <w:bookmarkEnd w:id="31"/>
    </w:p>
    <w:p w14:paraId="722BD31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图15  Adam 优化器训练结果</w:t>
      </w:r>
    </w:p>
    <w:p w14:paraId="1ECEF5D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"Figure_16"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图16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8CE5F48">
      <w:pPr>
        <w:keepNext/>
        <w:keepLines/>
        <w:spacing w:before="60" w:after="40" w:line="240" w:lineRule="auto"/>
        <w:jc w:val="center"/>
      </w:pPr>
      <w:bookmarkStart w:id="32" w:name="Figure_16"/>
      <w:bookmarkStart w:id="33" w:name="Figure_1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323465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2"/>
      <w:bookmarkEnd w:id="33"/>
    </w:p>
    <w:p w14:paraId="2DB721E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图16  SGD 优化器训练结果</w:t>
      </w:r>
    </w:p>
    <w:p w14:paraId="3AF04650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本实验将优化器由 Adam 替换为 SGD，严格控制变量：数据集划分方式、网络结构、隐藏层神经元数量、最大训练轮数、随机种子保持一致，仅改变优化器类型与适配学习率。其中 Adam 学习率设置为 0.001，SGD 学习率设置为 0.01。SGD 优化器训练日志如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"Figure_16"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图16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所示，两种优化器量化对比结果如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"Table_2"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表2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所示。</w:t>
      </w:r>
    </w:p>
    <w:p w14:paraId="3BF1D18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Adam与SGD优化器的量化对比结果见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"Table_2"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表2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 w14:paraId="4E98553A">
      <w:pPr>
        <w:spacing w:before="120" w:after="60" w:line="240" w:lineRule="auto"/>
        <w:jc w:val="center"/>
      </w:pPr>
      <w:bookmarkStart w:id="34" w:name="Table_2"/>
      <w:bookmarkStart w:id="35" w:name="Table_2"/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表2  Adam与SGD优化器对比</w:t>
      </w:r>
      <w:bookmarkEnd w:id="34"/>
      <w:bookmarkEnd w:id="35"/>
    </w:p>
    <w:tbl>
      <w:tblPr>
        <w:tblW w:w="5000" w:type="pct"/>
        <w:jc w:val="center"/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96"/>
        <w:gridCol w:w="3488"/>
        <w:gridCol w:w="1978"/>
        <w:gridCol w:w="2097"/>
      </w:tblGrid>
      <w:tr w14:paraId="582B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 w:val="1"/>
          <w:jc w:val="center"/>
          <w:cantSplit w:val="1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E92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627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D4A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达到 97% 测试准确率所需 epoch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95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最终测试集准确率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2DE4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 轮训练总耗时 (s)</w:t>
            </w:r>
          </w:p>
        </w:tc>
      </w:tr>
      <w:tr w14:paraId="04C8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D9C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Adam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C448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9A97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F214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97.37%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258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28</w:t>
            </w:r>
          </w:p>
        </w:tc>
      </w:tr>
      <w:tr w14:paraId="283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3C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081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0.01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19E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CA52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97.12%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636A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27</w:t>
            </w:r>
          </w:p>
        </w:tc>
      </w:tr>
    </w:tbl>
    <w:p w14:paraId="1C43734A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表注：硬件环境为 CPU，最大训练轮数设置为 5，网络隐藏层神经元数量为 128，随机种子固定，数据集划分完全一致。</w:t>
      </w:r>
    </w:p>
    <w:p w14:paraId="28BC992E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"Figure_16"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图16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可见，SGD 初始损失为 2.3464，损失整体下降趋势平缓，下降速度慢于 Adam。结合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"Table_2"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表2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分析：在收敛速度方面，Adam 仅需要 2 个 epoch 测试准确率即可达到 97%，而 SGD 训练至 5 轮结束才接近该精度，收敛速度明显更慢。Adam 融合一阶动量与二阶动量，具备自适应学习率特性，参数更新效率更高；SGD 仅依靠梯度信息更新参数，缺少自适应调节机制，收敛更平缓。在最终测试准确率上，5 轮训练结束后 Adam 测试准确率为 97.37%，SGD 为 97.12%，SGD 精度略低，说明在同等轮次限制下 SGD 无法充分收敛；若继续增加训练轮次，SGD 仍有机会逼近 Adam 的精度。在训练耗时上，二者单轮计算量接近，总耗时差距不大，但 SGD 需要更多迭代轮次才能达到同等精度，收敛效率更低。综上，Adam 收敛速度更快，可在较少轮次下取得理想精度；SGD 收敛缓慢，需要搭配更大的学习率以及更多训练轮次，才能够获得相近的泛化效果。</w:t>
      </w:r>
    </w:p>
    <w:p w14:paraId="2FC2CC00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3.4  问题分析与解决方案</w:t>
      </w:r>
    </w:p>
    <w:p w14:paraId="2EB065BD">
      <w:pPr>
        <w:pStyle w:val="33"/>
        <w:numPr>
          <w:ilvl w:val="0"/>
          <w:numId w:val="0"/>
        </w:numPr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3.4.1  缺少绘图库</w:t>
      </w:r>
    </w:p>
    <w:p w14:paraId="1104329E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当前 PyTorch Conda 环境缺少 matplotlib 库，绘图语句因而无法执行。</w:t>
      </w:r>
    </w:p>
    <w:p w14:paraId="147E6E3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"Figure_17"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图17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BD99C13">
      <w:pPr>
        <w:keepNext/>
        <w:keepLines/>
        <w:spacing w:before="60" w:after="40" w:line="240" w:lineRule="auto"/>
        <w:jc w:val="center"/>
      </w:pPr>
      <w:bookmarkStart w:id="36" w:name="Figure_17"/>
      <w:bookmarkStart w:id="37" w:name="Figure_1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529590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2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6"/>
      <w:bookmarkEnd w:id="37"/>
    </w:p>
    <w:p w14:paraId="207C253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图17  缺少绘图库时的报错信息</w:t>
      </w:r>
    </w:p>
    <w:p w14:paraId="60BAD553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解决方法</w:t>
      </w:r>
    </w:p>
    <w:p w14:paraId="3C1B31D7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打开 Anaconda Prompt：</w:t>
      </w:r>
    </w:p>
    <w:p w14:paraId="53E56FA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conda activate pytorch</w:t>
      </w:r>
    </w:p>
    <w:p w14:paraId="01F6664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Style w:val="21"/>
          <w:rFonts w:hint="default" w:ascii="Consolas" w:hAnsi="Consolas" w:eastAsia="Consolas" w:cs="Consolas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pip install matplotlib -i https://pypi.tuna.tsinghua.edu.cn/simple</w:t>
      </w:r>
    </w:p>
    <w:p w14:paraId="7BD4B2C9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激活正确环境后安装 matplotlib，即可恢复绘图功能。</w:t>
      </w:r>
    </w:p>
    <w:p w14:paraId="6283C270">
      <w:pPr>
        <w:pStyle w:val="33"/>
        <w:keepLines w:val="0"/>
        <w:widowControl/>
        <w:suppressLineNumbers w:val="0"/>
        <w:spacing w:before="120" w:after="120" w:line="24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3.4.2  数据保存路径错误</w:t>
      </w:r>
    </w:p>
    <w:p w14:paraId="3E52B284">
      <w:p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代码中写死了其他用户的目录 C:\Users\think，当前账户无法在该路径创建文件，因此出现路径不存在或权限被拒绝的错误。</w:t>
      </w:r>
    </w:p>
    <w:p w14:paraId="340D41C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"Figure_18"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图18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3A95C7C">
      <w:pPr>
        <w:keepNext/>
        <w:keepLines/>
        <w:spacing w:before="60" w:after="40" w:line="240" w:lineRule="auto"/>
        <w:jc w:val="center"/>
      </w:pPr>
      <w:bookmarkStart w:id="38" w:name="Figure_18"/>
      <w:bookmarkStart w:id="39" w:name="Figure_1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046480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4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8"/>
      <w:bookmarkEnd w:id="39"/>
    </w:p>
    <w:p w14:paraId="790FC82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图18  数据路径不匹配导致的报错信息</w:t>
      </w:r>
    </w:p>
    <w:p w14:paraId="06193231">
      <w:pPr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解决方法</w:t>
      </w:r>
    </w:p>
    <w:p w14:paraId="77672D4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将路径改成</w:t>
      </w:r>
      <w:r>
        <w:rPr>
          <w:rStyle w:val="21"/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local_data_path = r"C:\Users\付镇远\PycharmProjects\PythonProject\DL_data"</w:t>
      </w:r>
    </w:p>
    <w:p w14:paraId="5E9EAC52">
      <w:pPr>
        <w:bidi w:val="0"/>
        <w:spacing w:before="0" w:after="0"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即可解决</w:t>
      </w:r>
    </w:p>
    <w:p w14:paraId="0F2ADA8B">
      <w:pPr>
        <w:pStyle w:val="2"/>
        <w:numPr>
          <w:numId w:val="0"/>
        </w:numPr>
        <w:spacing w:before="340" w:after="330" w:line="240" w:lineRule="auto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4  检查点保存与继续训练</w:t>
      </w:r>
    </w:p>
    <w:p w14:paraId="7BF8AFE1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4.1  连续训练的基线结果</w:t>
      </w:r>
    </w:p>
    <w:p w14:paraId="57783EB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"Figure_19"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"Figure_19"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图19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90C35A4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40" w:name="Figure_19"/>
      <w:bookmarkStart w:id="41" w:name="Figure_1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020445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0"/>
      <w:bookmarkEnd w:id="41"/>
    </w:p>
    <w:p w14:paraId="7B858F7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图19  连续训练的基线结果</w:t>
      </w:r>
    </w:p>
    <w:p w14:paraId="08D14361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4.2  从检查点恢复训练的结果</w:t>
      </w:r>
    </w:p>
    <w:p w14:paraId="123826D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"Figure_20"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图20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D05636F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42" w:name="Figure_20"/>
      <w:bookmarkStart w:id="43" w:name="Figure_2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069340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2"/>
      <w:bookmarkEnd w:id="43"/>
    </w:p>
    <w:p w14:paraId="689106A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图20  从检查点恢复训练的运行结果</w:t>
      </w:r>
    </w:p>
    <w:p w14:paraId="6C18C7D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本实验的 checkpoint 检查点文件内同时保存</w:t>
      </w: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、</w:t>
      </w: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以及 epoch 信息。其中</w:t>
      </w: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model_state_dict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存储模型权重参数，</w:t>
      </w: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optimizer_state_dict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存储优化器内部状态，epoch 记录当前训练轮次，保证恢复训练时模型、优化器状态与训练进度完整承接。 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"Figure_20"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 20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可知，第 5 轮训练结束保存断点时，损失为 178.4466；加载该断点恢复后，第 6 轮损失会在 178.4466 基础上继续下降，不会跳回首轮 544.2715 的初始损失。损失平滑连续下降，不存在从头训练时的损失跳变，证明训练是从断点位置接续执行，而不是参数初始化后重新开始训练。若仅保存模型权重、不保存优化器状态，带动量的优化器将丢失动量信息，续训的收敛特性会发生改变。</w:t>
      </w:r>
    </w:p>
    <w:p w14:paraId="23BEC59A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5  CNN 手写数字识别</w:t>
      </w:r>
    </w:p>
    <w:p w14:paraId="77CB24A2">
      <w:pPr>
        <w:pStyle w:val="3"/>
        <w:spacing w:before="260" w:after="26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5.1  CNN 运行结果</w:t>
      </w:r>
    </w:p>
    <w:p w14:paraId="1560EF3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"Figure_21"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图21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7BB4857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44" w:name="Figure_21"/>
      <w:bookmarkStart w:id="45" w:name="Figure_2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158365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58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4"/>
      <w:bookmarkEnd w:id="45"/>
    </w:p>
    <w:p w14:paraId="4EC5E49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图21  CNN 手写数字识别训练结果</w:t>
      </w:r>
    </w:p>
    <w:p w14:paraId="04D471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"Figure_22"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图22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0155732">
      <w:pPr>
        <w:keepNext/>
        <w:keepLines/>
        <w:spacing w:before="60" w:after="40" w:line="240" w:lineRule="auto"/>
        <w:jc w:val="center"/>
      </w:pPr>
      <w:bookmarkStart w:id="46" w:name="Figure_22"/>
      <w:bookmarkStart w:id="47" w:name="Figure_2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856740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5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6"/>
      <w:bookmarkEnd w:id="47"/>
    </w:p>
    <w:p w14:paraId="6A7B28D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图22  CNN 手写数字识别准确率曲线</w:t>
      </w:r>
    </w:p>
    <w:p w14:paraId="547E2503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 w:eastAsia="宋体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5.2  课堂练习分析</w:t>
      </w:r>
    </w:p>
    <w:p w14:paraId="4C44AF10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5.2.1  哪些语句实现图像张量化？</w:t>
      </w:r>
    </w:p>
    <w:p w14:paraId="22A5DFA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Style w:val="21"/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transforms.ToTensor()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 w14:paraId="5F4A90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"Figure_23"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图23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D5B07FC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  <w:rPr>
          <w:rFonts w:ascii="宋体" w:hAnsi="宋体" w:eastAsia="宋体" w:cs="宋体"/>
          <w:sz w:val="24"/>
          <w:szCs w:val="24"/>
        </w:rPr>
      </w:pPr>
      <w:bookmarkStart w:id="48" w:name="Figure_23"/>
      <w:bookmarkStart w:id="49" w:name="Figure_2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73275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7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8"/>
      <w:bookmarkEnd w:id="49"/>
    </w:p>
    <w:p w14:paraId="3D0BFCE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图23  卷积核数量调整后的训练结果</w:t>
      </w:r>
    </w:p>
    <w:p w14:paraId="7B0AA09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"Figure_24"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图24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F9FD5D8">
      <w:pPr>
        <w:keepNext/>
        <w:keepLines/>
        <w:spacing w:before="60" w:after="40" w:line="240" w:lineRule="auto"/>
        <w:jc w:val="center"/>
      </w:pPr>
      <w:bookmarkStart w:id="50" w:name="Figure_24"/>
      <w:bookmarkStart w:id="51" w:name="Figure_2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24380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0"/>
      <w:bookmarkEnd w:id="51"/>
    </w:p>
    <w:p w14:paraId="732570C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图24  卷积核数量调整后的准确率曲线</w:t>
      </w:r>
    </w:p>
    <w:p w14:paraId="44E161E4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5.2.3  移除 Dropout 的影响</w:t>
      </w:r>
    </w:p>
    <w:p w14:paraId="5875C232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6EEAD5D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"Figure_25"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图25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CCEE3F8">
      <w:pPr>
        <w:keepNext/>
        <w:keepLines/>
        <w:spacing w:before="60" w:after="40" w:line="240" w:lineRule="auto"/>
        <w:jc w:val="center"/>
      </w:pPr>
      <w:bookmarkStart w:id="52" w:name="Figure_25"/>
      <w:bookmarkStart w:id="53" w:name="Figure_2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23745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23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2"/>
      <w:bookmarkEnd w:id="53"/>
    </w:p>
    <w:p w14:paraId="6AFD079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图25  移除 Dropout 后的训练结果</w:t>
      </w:r>
    </w:p>
    <w:p w14:paraId="71EB75B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"Figure_26"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图26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E75EDCF">
      <w:pPr>
        <w:keepNext/>
        <w:keepLines/>
        <w:spacing w:before="60" w:after="40" w:line="240" w:lineRule="auto"/>
        <w:jc w:val="center"/>
      </w:pPr>
      <w:bookmarkStart w:id="54" w:name="Figure_26"/>
      <w:bookmarkStart w:id="55" w:name="Figure_2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767840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6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4"/>
      <w:bookmarkEnd w:id="55"/>
    </w:p>
    <w:p w14:paraId="6465290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图26  移除 Dropout 后的准确率曲线</w:t>
      </w:r>
    </w:p>
    <w:p w14:paraId="10AF606C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5.2.4  增加第三个卷积层的影响</w:t>
      </w:r>
    </w:p>
    <w:p w14:paraId="77795FF1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 w14:paraId="500D593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"Figure_27"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图27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F9A5442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56" w:name="Figure_27"/>
      <w:bookmarkStart w:id="57" w:name="Figure_2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51990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6"/>
      <w:bookmarkEnd w:id="57"/>
    </w:p>
    <w:p w14:paraId="12E34DD8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图27  增加第三个卷积层后的训练结果</w:t>
      </w:r>
    </w:p>
    <w:p w14:paraId="69A4A1E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"Figure_28"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图28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5AC3084">
      <w:pPr>
        <w:keepNext/>
        <w:keepLines/>
        <w:spacing w:before="60" w:after="40" w:line="240" w:lineRule="auto"/>
        <w:jc w:val="center"/>
      </w:pPr>
      <w:bookmarkStart w:id="58" w:name="Figure_28"/>
      <w:bookmarkStart w:id="59" w:name="Figure_2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02460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0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8"/>
      <w:bookmarkEnd w:id="59"/>
    </w:p>
    <w:p w14:paraId="7AB14CA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图28  增加第三个卷积层后的准确率曲线</w:t>
      </w:r>
    </w:p>
    <w:p w14:paraId="46BF1C12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本次设置四组对照实验，仅调整卷积核数量、Dropout 层以及卷积层数，其余训练条件保持一致。基线组卷积核为 32/64、包含 Dropout，测试准确率 98.88%；卷积核改为 16/32 后，模型参数量减少，测试准确率 98.92%；移除 Dropout 层后，测试准确率 98.93%；增加第三个卷积层后，模型参数量提升，测试准确率达到 99.31%，为四组中最高。</w:t>
      </w:r>
    </w:p>
    <w:p w14:paraId="3ACDDA4D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对比实验结果可知：减少卷积核数量，模型参数量下降，训练速度更快，在本数据集上测试精度小幅波动；移除 Dropout 后正则约束消失，训练更容易拟合，测试准确率变化不大；增加卷积层能够提升特征提取能力，模型最终测试效果最优。总体来看，增加网络深度对识别精度提升效果明显，Dropout 起到抑制过拟合的作用，卷积通道数减少可降低计算开销。</w:t>
      </w:r>
    </w:p>
    <w:p w14:paraId="25961E2B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6  猫狗图像识别</w:t>
      </w:r>
    </w:p>
    <w:p w14:paraId="5D7EDE33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ascii="Times New Roman" w:hAnsi="Times New Roman" w:eastAsia="黑体"/>
          <w:b/>
          <w:sz w:val="30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6.1  运行结果</w:t>
      </w:r>
    </w:p>
    <w:p w14:paraId="5F25498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"Figure_29"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图29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5B77D60">
      <w:pPr>
        <w:pStyle w:val="4"/>
        <w:keepNext/>
        <w:keepLines/>
        <w:spacing w:before="60" w:after="40" w:line="240" w:lineRule="auto"/>
        <w:jc w:val="center"/>
        <w:rPr>
          <w:rFonts w:hint="eastAsia"/>
          <w:lang w:val="en-US" w:eastAsia="zh-CN"/>
        </w:rPr>
      </w:pPr>
      <w:bookmarkStart w:id="60" w:name="Figure_29"/>
      <w:bookmarkStart w:id="61" w:name="Figure_29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39770" cy="1692275"/>
            <wp:effectExtent l="0" t="0" r="127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923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60"/>
      <w:bookmarkEnd w:id="61"/>
    </w:p>
    <w:p w14:paraId="12D762AD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图29  猫狗识别模型的 PyCharm 运行输出</w:t>
      </w:r>
    </w:p>
    <w:p w14:paraId="0E64DD0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"Figure_30"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图30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805D7A4">
      <w:pPr>
        <w:keepNext/>
        <w:keepLines/>
        <w:spacing w:before="60" w:after="40" w:line="240" w:lineRule="auto"/>
        <w:jc w:val="center"/>
      </w:pPr>
      <w:bookmarkStart w:id="62" w:name="Figure_30"/>
      <w:bookmarkStart w:id="63" w:name="Figure_30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39770" cy="1330960"/>
            <wp:effectExtent l="0" t="0" r="7620" b="1905"/>
            <wp:docPr id="3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314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62"/>
      <w:bookmarkEnd w:id="63"/>
    </w:p>
    <w:p w14:paraId="2187868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图30  猫狗识别训练损失与准确率曲线</w:t>
      </w:r>
    </w:p>
    <w:p w14:paraId="1273670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"Figure_31"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图31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8F4D691">
      <w:pPr>
        <w:keepNext/>
        <w:keepLines/>
        <w:spacing w:before="60" w:after="40" w:line="240" w:lineRule="auto"/>
        <w:jc w:val="center"/>
      </w:pPr>
      <w:bookmarkStart w:id="64" w:name="Figure_31"/>
      <w:bookmarkStart w:id="65" w:name="Figure_31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39770" cy="2809875"/>
            <wp:effectExtent l="0" t="0" r="4445" b="13335"/>
            <wp:docPr id="5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105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64"/>
      <w:bookmarkEnd w:id="65"/>
    </w:p>
    <w:p w14:paraId="5CE94DD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图31  猫狗识别测试集混淆矩阵</w:t>
      </w:r>
    </w:p>
    <w:p w14:paraId="17D5595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"Figure_32"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图32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680EFCC">
      <w:pPr>
        <w:keepNext/>
        <w:keepLines/>
        <w:spacing w:before="60" w:after="40" w:line="240" w:lineRule="auto"/>
        <w:jc w:val="center"/>
      </w:pPr>
      <w:bookmarkStart w:id="66" w:name="Figure_32"/>
      <w:bookmarkStart w:id="67" w:name="Figure_32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39770" cy="1753870"/>
            <wp:effectExtent l="0" t="0" r="5080" b="12065"/>
            <wp:docPr id="6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54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66"/>
      <w:bookmarkEnd w:id="67"/>
    </w:p>
    <w:p w14:paraId="60B1944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图32  猫狗识别测试集预测样例</w:t>
      </w:r>
    </w:p>
    <w:p w14:paraId="222500F8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6.1.1  实验设置</w:t>
      </w:r>
    </w:p>
    <w:p w14:paraId="5C0C2E2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实验使用8005张训练图片和2023张测试图片，其中训练集包含4000张猫、4005张狗，测试集包含1011张猫、1012张狗。模型由4个卷积层和3个全连接层组成，输入图像统一缩放为96×96，批大小为64，使用Adam优化器，学习率为0.001，共训练10轮。为适应CPU环境，卷积通道数依次设置为16、32、64和128，模型总参数量为1,212,930。完整运行输出和训练曲线分别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"Figure_29"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"Figure_29"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图29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和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"Figure_30"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图30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531F261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6.1.2  实验结果</w:t>
      </w:r>
    </w:p>
    <w:p w14:paraId="572ACA1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训练10轮总用时为431.3秒。第10轮取得最佳结果：训练集准确率为88.71%，测试集准确率为88.24%，测试集交叉熵损失为0.3025。训练准确率与测试准确率仅相差0.47个百分点，未表现出明显的过拟合。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"Figure_30"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图30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显示训练损失总体下降，测试准确率虽有阶段性波动，但整体呈上升趋势。</w:t>
      </w:r>
    </w:p>
    <w:p w14:paraId="37A9818D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6.1.3  混淆矩阵与误分类分析</w:t>
      </w:r>
    </w:p>
    <w:p w14:paraId="1781FF9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测试集混淆矩阵如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"Figure_31"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图31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在1011张猫图片中，892张识别正确、119张被误判为狗；在1012张狗图片中，893张识别正确、119张被误判为猫。猫和狗的召回率分别约为88.23%和88.24%，两类识别能力较为均衡，说明总体准确率并非由类别不平衡造成。</w:t>
      </w:r>
    </w:p>
    <w:p w14:paraId="577BD13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预测样例如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"Figure_32"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图32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正确样例通常具有清晰的主体轮廓；误分类样例中存在复杂背景、遮挡、姿态变化或目标占比较小等情况。两张误判猫图片的预测置信度约为50.4%和72.8%，说明模型对这些边界样本的判别仍不稳定。后续可采用更丰富的数据增强、提高输入分辨率或使用预训练模型改善特征表达能力。</w:t>
      </w:r>
    </w:p>
    <w:p w14:paraId="180CBB4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猫狗识别实验的主要量化结果见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"Table_3"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表3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 w14:paraId="5B853945">
      <w:pPr>
        <w:spacing w:before="120" w:after="60" w:line="240" w:lineRule="auto"/>
        <w:jc w:val="center"/>
      </w:pPr>
      <w:bookmarkStart w:id="68" w:name="Table_3"/>
      <w:bookmarkStart w:id="69" w:name="Table_3"/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表3  猫狗识别实验结果汇总</w:t>
      </w:r>
      <w:bookmarkEnd w:id="68"/>
      <w:bookmarkEnd w:id="69"/>
    </w:p>
    <w:tbl>
      <w:tblPr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4B60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  <w:tblHeader w:val="1"/>
        </w:trPr>
        <w:tc>
          <w:tcPr>
            <w:tcW w:w="4677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5EDB31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指标</w:t>
            </w:r>
          </w:p>
        </w:tc>
        <w:tc>
          <w:tcPr>
            <w:tcW w:w="4677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30C2A41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实验结果</w:t>
            </w:r>
          </w:p>
        </w:tc>
      </w:tr>
      <w:tr w14:paraId="55245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8F1432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模型参数量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AEC43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1,212,930</w:t>
            </w:r>
          </w:p>
        </w:tc>
      </w:tr>
      <w:tr w14:paraId="73E5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766C94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训练轮数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631A8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10</w:t>
            </w:r>
          </w:p>
        </w:tc>
      </w:tr>
      <w:tr w14:paraId="1045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B4999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训练总时间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502D3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431.3 s</w:t>
            </w:r>
          </w:p>
        </w:tc>
      </w:tr>
      <w:tr w14:paraId="0518F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7131C9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最佳训练集准确率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DAB792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88.71%</w:t>
            </w:r>
          </w:p>
        </w:tc>
      </w:tr>
      <w:tr w14:paraId="1FAD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AD3D2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最佳测试集准确率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761DB7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88.24%</w:t>
            </w:r>
          </w:p>
        </w:tc>
      </w:tr>
      <w:tr w14:paraId="46D5A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4677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0F5CE5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最佳测试集损失</w:t>
            </w:r>
          </w:p>
        </w:tc>
        <w:tc>
          <w:tcPr>
            <w:tcW w:w="4677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C1FFB1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0.3025</w:t>
            </w:r>
          </w:p>
        </w:tc>
      </w:tr>
    </w:tbl>
    <w:p w14:paraId="2FCCC0CD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6.2  问题分析与解决方案</w:t>
      </w:r>
    </w:p>
    <w:p w14:paraId="03526560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6.2.1  数据路径配置错误</w:t>
      </w:r>
    </w:p>
    <w:p w14:paraId="338D076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"Figure_33"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图33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04518E0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70" w:name="Figure_33"/>
      <w:bookmarkStart w:id="71" w:name="Figure_3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66750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6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0"/>
      <w:bookmarkEnd w:id="71"/>
    </w:p>
    <w:p w14:paraId="58A6A81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图33  猫狗识别中的数据路径错误</w:t>
      </w:r>
    </w:p>
    <w:p w14:paraId="1761B55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解决方法</w:t>
      </w:r>
    </w:p>
    <w:p w14:paraId="770FA24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将数据路径改为本机实际保存位置，并确认该目录存在且当前账户具有读取权限。</w:t>
      </w:r>
    </w:p>
    <w:p w14:paraId="085E2C4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"Figure_34"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图34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43251A7">
      <w:pPr>
        <w:keepNext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72" w:name="Figure_34"/>
      <w:bookmarkStart w:id="73" w:name="Figure_3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43890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4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2"/>
      <w:bookmarkEnd w:id="73"/>
    </w:p>
    <w:p w14:paraId="581AD7B8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图34  路径修正后的原始程序运行结果</w:t>
      </w:r>
    </w:p>
    <w:p w14:paraId="420591EB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7  VGG16 迁移学习</w:t>
      </w:r>
    </w:p>
    <w:p w14:paraId="2D23B116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7.1  VGG16 运行结果</w:t>
      </w:r>
    </w:p>
    <w:p w14:paraId="094538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"Figure_35"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图35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EC60258">
      <w:pPr>
        <w:keepNext/>
        <w:keepLines/>
        <w:spacing w:before="60" w:after="40" w:line="240" w:lineRule="auto"/>
        <w:jc w:val="center"/>
      </w:pPr>
      <w:bookmarkStart w:id="74" w:name="Figure_35"/>
      <w:bookmarkStart w:id="75" w:name="Figure_3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66240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6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4"/>
      <w:bookmarkEnd w:id="75"/>
    </w:p>
    <w:p w14:paraId="52797A5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图35  VGG16迁移学习实验配置与参数</w:t>
      </w:r>
    </w:p>
    <w:p w14:paraId="71DA198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"Figure_36"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图36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DC2E09C">
      <w:pPr>
        <w:keepNext/>
        <w:keepLines/>
        <w:spacing w:before="60" w:after="40" w:line="240" w:lineRule="auto"/>
        <w:jc w:val="center"/>
      </w:pPr>
      <w:bookmarkStart w:id="76" w:name="Figure_36"/>
      <w:bookmarkStart w:id="77" w:name="Figure_3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247775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6"/>
      <w:bookmarkEnd w:id="77"/>
    </w:p>
    <w:p w14:paraId="2292D12A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图36  VGG16训练损失与准确率曲线</w:t>
      </w:r>
    </w:p>
    <w:p w14:paraId="70E0CB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"Figure_37"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图37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3E8B7BC">
      <w:pPr>
        <w:keepNext/>
        <w:keepLines/>
        <w:spacing w:before="60" w:after="40" w:line="240" w:lineRule="auto"/>
        <w:jc w:val="center"/>
      </w:pPr>
      <w:bookmarkStart w:id="78" w:name="Figure_37"/>
      <w:bookmarkStart w:id="79" w:name="Figure_3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23415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2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8"/>
      <w:bookmarkEnd w:id="79"/>
    </w:p>
    <w:p w14:paraId="6AF1D09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图37  VGG16猫狗识别运行结果</w:t>
      </w:r>
    </w:p>
    <w:p w14:paraId="1DFB1D05">
      <w:pPr>
        <w:pStyle w:val="3"/>
        <w:spacing w:before="260" w:after="260" w:line="240" w:lineRule="auto"/>
        <w:jc w:val="left"/>
        <w:rPr>
          <w:rFonts w:hint="eastAsia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7.2  VGG16 微调与从零训练 CNN 的比较</w:t>
      </w:r>
    </w:p>
    <w:p w14:paraId="62907E14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本次实验使用ImageNet预训练VGG16，冻结卷积特征层，将分类头替换为Linear(512, 2)，输入尺寸为96×96。模型总参数量为14,715,714，其中可训练参数量为1,026。使用与第6章普通CNN完全相同的8005张训练图片和2023张测试图片，训练3轮总用时762.84秒。第3轮取得最佳结果：训练集准确率95.20%，测试集准确率95.30%，测试损失0.1180。实验配置、训练曲线和运行结果分别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"Figure_35"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图35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"Figure_36"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图36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和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"Figure_37"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图37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78CCC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与第6章普通CNN相比，VGG16测试准确率由88.24%提高到95.30%，提高7.06个百分点；测试损失由0.3025降至0.1180。VGG16虽然只训练3轮，但CPU总训练时间为762.84秒，比普通CNN的431.3秒增加331.54秒。其总参数量约为普通CNN的12.1倍，不过冻结特征层后仅有1,026个分类头参数参与更新。这说明预训练特征显著提高了识别精度，但VGG16前向特征提取仍带来较大的计算开销。</w:t>
      </w:r>
    </w:p>
    <w:p w14:paraId="79B7A46F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普通CNN与VGG16的量化对比结果见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"Table_4"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表4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。</w:t>
      </w:r>
    </w:p>
    <w:p w14:paraId="75E5FE62">
      <w:pPr>
        <w:spacing w:before="120" w:after="60" w:line="240" w:lineRule="auto"/>
        <w:jc w:val="center"/>
      </w:pPr>
      <w:bookmarkStart w:id="80" w:name="Table_4"/>
      <w:bookmarkStart w:id="81" w:name="Table_4"/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表4  普通CNN与VGG16迁移学习结果对比</w:t>
      </w:r>
      <w:bookmarkEnd w:id="80"/>
      <w:bookmarkEnd w:id="81"/>
    </w:p>
    <w:tbl>
      <w:tblPr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336"/>
        <w:gridCol w:w="1335"/>
        <w:gridCol w:w="1334"/>
        <w:gridCol w:w="1335"/>
        <w:gridCol w:w="1335"/>
        <w:gridCol w:w="1335"/>
      </w:tblGrid>
      <w:tr w14:paraId="54C4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  <w:tblHeader w:val="1"/>
        </w:trPr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7718AA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模型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6071288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总参数量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5A7F857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可训练参数量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16E4C7F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训练轮数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4FF8D0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训练时间（s）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35CE85A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测试损失</w:t>
            </w:r>
          </w:p>
        </w:tc>
        <w:tc>
          <w:tcPr>
            <w:tcW w:w="1336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42B9E5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测试准确率</w:t>
            </w:r>
          </w:p>
        </w:tc>
      </w:tr>
      <w:tr w14:paraId="707AF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B084A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普通CNN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3951A8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1,212,930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DA643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1,212,930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2AE820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B98CE9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431.30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0A7E2E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0.3025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C54769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88.24%</w:t>
            </w:r>
          </w:p>
        </w:tc>
      </w:tr>
      <w:tr w14:paraId="4B232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1"/>
        </w:trPr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748823F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VGG16迁移学习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B77BA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14,715,714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1F9F6E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1,026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C8A26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73A77A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762.84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6C921B2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0.1180</w:t>
            </w:r>
          </w:p>
        </w:tc>
        <w:tc>
          <w:tcPr>
            <w:tcW w:w="1336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05CCAF8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95.30%</w:t>
            </w:r>
          </w:p>
        </w:tc>
      </w:tr>
    </w:tbl>
    <w:p w14:paraId="3E47E819">
      <w:pPr>
        <w:pStyle w:val="2"/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8  VGG16 特征可视化</w:t>
      </w:r>
    </w:p>
    <w:p w14:paraId="682FB658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8.1  浅层卷积特征图</w:t>
      </w:r>
    </w:p>
    <w:p w14:paraId="4E8966B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特点：尺寸和原图接近，只凸显边缘、线条、轮廓、纹理；和原图结构相似，只能看到基础的线条信息，看不出猫、狗这种物体。</w:t>
      </w:r>
    </w:p>
    <w:p w14:paraId="38BDFE30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对比图</w:t>
      </w:r>
    </w:p>
    <w:p w14:paraId="35EC379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"Figure_38"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图38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0CD9137">
      <w:pPr>
        <w:keepNext/>
        <w:keepLines/>
        <w:spacing w:before="60" w:after="40" w:line="240" w:lineRule="auto"/>
        <w:jc w:val="center"/>
      </w:pPr>
      <w:bookmarkStart w:id="82" w:name="Figure_38"/>
      <w:bookmarkStart w:id="83" w:name="Figure_3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2"/>
      <w:bookmarkEnd w:id="83"/>
    </w:p>
    <w:p w14:paraId="5F70597C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图38  VGG16 输入原图</w:t>
      </w:r>
    </w:p>
    <w:p w14:paraId="6D3F3E2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"Figure_39"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"Figure_39"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图39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34B1584">
      <w:pPr>
        <w:keepNext/>
        <w:keepLines/>
        <w:spacing w:before="60" w:after="40" w:line="240" w:lineRule="auto"/>
        <w:jc w:val="center"/>
      </w:pPr>
      <w:bookmarkStart w:id="84" w:name="Figure_39"/>
      <w:bookmarkStart w:id="85" w:name="Figure_3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4"/>
      <w:bookmarkEnd w:id="85"/>
    </w:p>
    <w:p w14:paraId="310CFD68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图39  VGG16 浅层卷积特征图</w:t>
      </w:r>
    </w:p>
    <w:p w14:paraId="10F7FBF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"Figure_40"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图40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36051E1">
      <w:pPr>
        <w:keepNext/>
        <w:keepLines/>
        <w:spacing w:before="60" w:after="40" w:line="240" w:lineRule="auto"/>
        <w:jc w:val="center"/>
      </w:pPr>
      <w:bookmarkStart w:id="86" w:name="Figure_40"/>
      <w:bookmarkStart w:id="87" w:name="Figure_4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6"/>
      <w:bookmarkEnd w:id="87"/>
    </w:p>
    <w:p w14:paraId="45BE360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图40  浅层卷积特征与原图对比</w:t>
      </w:r>
    </w:p>
    <w:p w14:paraId="5E95D102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8.2  深层特征图</w:t>
      </w:r>
    </w:p>
    <w:p w14:paraId="3E73DC8B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经过多次卷积 + 池化，分辨率变得很小（7×7）；图上是离散的激活色块，已经完全看不出图像轮廓，提取的是抽象语义特征。</w:t>
      </w:r>
    </w:p>
    <w:p w14:paraId="2D321DC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"Figure_41"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图41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8A985F5">
      <w:pPr>
        <w:keepNext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88" w:name="Figure_41"/>
      <w:bookmarkStart w:id="89" w:name="Figure_4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8"/>
      <w:bookmarkEnd w:id="89"/>
    </w:p>
    <w:p w14:paraId="0D08C8C6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图41  VGG16 深层特征图（一）</w:t>
      </w:r>
    </w:p>
    <w:p w14:paraId="10ABEC1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"Figure_42"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图42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401E1AA">
      <w:pPr>
        <w:keepNext/>
        <w:keepLines/>
        <w:spacing w:before="60" w:after="40" w:line="240" w:lineRule="auto"/>
        <w:jc w:val="center"/>
      </w:pPr>
      <w:bookmarkStart w:id="90" w:name="Figure_42"/>
      <w:bookmarkStart w:id="91" w:name="Figure_4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0"/>
      <w:bookmarkEnd w:id="91"/>
    </w:p>
    <w:p w14:paraId="27A3C77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图42  VGG16 深层特征图（二）</w:t>
      </w:r>
    </w:p>
    <w:p w14:paraId="03203CA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"Figure_43"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图43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F85473D">
      <w:pPr>
        <w:keepNext/>
        <w:keepLines/>
        <w:spacing w:before="60" w:after="40" w:line="240" w:lineRule="auto"/>
        <w:jc w:val="center"/>
      </w:pPr>
      <w:bookmarkStart w:id="92" w:name="Figure_43"/>
      <w:bookmarkStart w:id="93" w:name="Figure_4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2"/>
      <w:bookmarkEnd w:id="93"/>
    </w:p>
    <w:p w14:paraId="2520CAA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图43  VGG16 深层特征图（三）</w:t>
      </w:r>
    </w:p>
    <w:p w14:paraId="5BA74E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"Figure_44"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图44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73841DE">
      <w:pPr>
        <w:keepNext/>
        <w:keepLines/>
        <w:spacing w:before="60" w:after="40" w:line="240" w:lineRule="auto"/>
        <w:jc w:val="center"/>
      </w:pPr>
      <w:bookmarkStart w:id="94" w:name="Figure_44"/>
      <w:bookmarkStart w:id="95" w:name="Figure_4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4"/>
      <w:bookmarkEnd w:id="95"/>
    </w:p>
    <w:p w14:paraId="6B6B9F4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图44  VGG16 深层特征图（四）</w:t>
      </w:r>
    </w:p>
    <w:p w14:paraId="228C04A5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8.3  Grad-CAM 热力图</w:t>
      </w:r>
    </w:p>
    <w:p w14:paraId="58E7DC16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上采样放大后的热力图，代表网络激活区域。</w:t>
      </w:r>
    </w:p>
    <w:p w14:paraId="10A64FA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"Figure_45"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图45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6219094">
      <w:pPr>
        <w:keepNext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96" w:name="Figure_45"/>
      <w:bookmarkStart w:id="97" w:name="Figure_4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6"/>
      <w:bookmarkEnd w:id="97"/>
    </w:p>
    <w:p w14:paraId="37EAF4C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图45  Grad-CAM 热力图</w:t>
      </w:r>
    </w:p>
    <w:p w14:paraId="71326860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8.4  热力图与原图叠加</w:t>
      </w:r>
    </w:p>
    <w:p w14:paraId="3B2B5B53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热力图叠加在原始图片上，直观展示模型重点关注区域</w:t>
      </w:r>
    </w:p>
    <w:p w14:paraId="1C433AD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"Figure_46"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图46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7F630716">
      <w:pPr>
        <w:keepNext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98" w:name="Figure_46"/>
      <w:bookmarkStart w:id="99" w:name="Figure_4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29510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8"/>
      <w:bookmarkEnd w:id="99"/>
    </w:p>
    <w:p w14:paraId="7588FD01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图46  Grad-CAM 热力图与原图叠加结果</w:t>
      </w:r>
    </w:p>
    <w:p w14:paraId="3DBC4DAD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8.5  类别激活结果分析</w:t>
      </w:r>
    </w:p>
    <w:p w14:paraId="75B62BD0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098149C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"Figure_47"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图47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123D05F">
      <w:pPr>
        <w:keepNext/>
        <w:keepLines/>
        <w:spacing w:before="60" w:after="40" w:line="240" w:lineRule="auto"/>
        <w:jc w:val="center"/>
      </w:pPr>
      <w:bookmarkStart w:id="100" w:name="Figure_47"/>
      <w:bookmarkStart w:id="101" w:name="Figure_47"/>
      <w:r>
        <w:rPr>
          <w:rFonts w:ascii="Times New Roman" w:hAnsi="Times New Roman" w:eastAsia="宋体"/>
          <w:color w:val="000000"/>
          <w:sz w:val="24"/>
        </w:rPr>
        <w:drawing>
          <wp:inline distT="0" distB="0" distL="0" distR="0">
            <wp:extent cx="3239770" cy="2429510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0"/>
      <w:bookmarkEnd w:id="101"/>
    </w:p>
    <w:p w14:paraId="22BF1A1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图47  VGG16 类别激活可视化结果</w:t>
      </w:r>
    </w:p>
    <w:p w14:paraId="456C8778">
      <w:pPr>
        <w:pStyle w:val="2"/>
        <w:bidi w:val="0"/>
        <w:spacing w:before="340" w:after="33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9  电力负荷预测中的特征工程</w:t>
      </w:r>
    </w:p>
    <w:p w14:paraId="6B3F2A49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9.1  基线特征模型</w:t>
      </w:r>
    </w:p>
    <w:p w14:paraId="26E4C53F">
      <w:p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运行代码结果</w:t>
      </w:r>
      <w:bookmarkStart w:id="134" w:name="_GoBack"/>
      <w:bookmarkEnd w:id="134"/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"Figure_48"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图48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6D84BB1">
      <w:pPr>
        <w:keepNext/>
        <w:keepLines/>
        <w:spacing w:before="60" w:after="40" w:line="240" w:lineRule="auto"/>
        <w:jc w:val="center"/>
      </w:pPr>
      <w:bookmarkStart w:id="102" w:name="Figure_48"/>
      <w:bookmarkStart w:id="103" w:name="Figure_4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597025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9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2"/>
      <w:bookmarkEnd w:id="103"/>
    </w:p>
    <w:p w14:paraId="03170942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图48  基线特征模型的预测结果</w:t>
      </w:r>
    </w:p>
    <w:p w14:paraId="4BE7EBA2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9.2  人工构造滞后与统计特征</w:t>
      </w:r>
    </w:p>
    <w:p w14:paraId="547CDF15">
      <w:pPr>
        <w:spacing w:before="0" w:after="0" w:line="360" w:lineRule="auto"/>
        <w:ind w:firstLine="480" w:firstLineChars="20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基线模型仅使用月份、星期、季节和是否周末等日历类别特征，并由 Embedding 与 MLP 学习非线性关系；它未显式利用历史负荷信息。</w:t>
      </w:r>
    </w:p>
    <w:p w14:paraId="5314C671">
      <w:pPr>
        <w:spacing w:before="0" w:after="0" w:line="360" w:lineRule="auto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代码运行结果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"Figure_49"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图49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64DC3D04">
      <w:pPr>
        <w:keepNext/>
        <w:keepLines/>
        <w:spacing w:before="60" w:after="40" w:line="240" w:lineRule="auto"/>
        <w:jc w:val="center"/>
      </w:pPr>
      <w:bookmarkStart w:id="104" w:name="Figure_49"/>
      <w:bookmarkStart w:id="105" w:name="Figure_4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098675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9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4"/>
      <w:bookmarkEnd w:id="105"/>
    </w:p>
    <w:p w14:paraId="1134AA1C">
      <w:pPr>
        <w:pStyle w:val="34"/>
        <w:keepLines/>
        <w:spacing w:before="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图49  加入滞后与统计特征后的预测结果</w:t>
      </w:r>
    </w:p>
    <w:p w14:paraId="4DBE5A3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"Figure_50"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图50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070F91B2">
      <w:pPr>
        <w:pStyle w:val="34"/>
        <w:keepNext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06" w:name="Figure_50"/>
      <w:bookmarkStart w:id="107" w:name="Figure_5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490980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9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6"/>
      <w:bookmarkEnd w:id="107"/>
    </w:p>
    <w:p w14:paraId="1AC6769D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图50  加入滞后与统计特征后的测试指标</w:t>
      </w:r>
    </w:p>
    <w:p w14:paraId="7F72B7A0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基线模型未引入历史负荷特征，仅采用月份、星期、季节、是否周末日历特征，由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"Figure_48"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图48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可得测试集指标：RMSE=1.0341，MAE=0.9522。在保持实验条件一致的前提下，引入滞后负荷、滑动均值、负荷差值等时序特征后，由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"Figure_49"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"Figure_49"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图49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可得测试集指标：RMSE=1.0194，MAE=0.9363。 本实验采用时序顺序划分数据集，按照时间先后顺序将全部数据前 80% 划分为训练集，后 20% 作为测试集，全程不采用随机打乱划分方式，规避时序数据泄露问题。对比结果可见，增加历史时序特征后模型 RMSE 与 MAE 均有所下降，预测精度得到小幅提升。</w:t>
      </w:r>
    </w:p>
    <w:p w14:paraId="28499626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代码复核发现，原始写法 Delta_1 = Load - Lag_1 在构造当天输入时使用了当天真实负荷，会造成目标泄漏。统一复现实验将其修正为 Delta_1 = Lag_1 - Lag_2，即“昨日负荷减前日负荷”，使所有输入在预测时均可获得。连续特征和目标值的标准化参数仅由训练集拟合，再应用于测试集。</w:t>
      </w:r>
    </w:p>
    <w:p w14:paraId="33AF79BE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2F14A903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9.3  问题分析与解决方案</w:t>
      </w:r>
    </w:p>
    <w:p w14:paraId="68D4BAD9">
      <w:pPr>
        <w:pStyle w:val="33"/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9.3.1  缺少 pandas</w:t>
      </w:r>
    </w:p>
    <w:p w14:paraId="3ABE643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"Figure_51"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图51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8897BD2">
      <w:pPr>
        <w:keepNext/>
        <w:keepLines/>
        <w:spacing w:before="60" w:after="40" w:line="240" w:lineRule="auto"/>
        <w:jc w:val="center"/>
      </w:pPr>
      <w:bookmarkStart w:id="108" w:name="Figure_51"/>
      <w:bookmarkStart w:id="109" w:name="Figure_5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29920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3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8"/>
      <w:bookmarkEnd w:id="109"/>
    </w:p>
    <w:p w14:paraId="1EDCA3E3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图51  缺少 pandas 时的报错信息</w:t>
      </w:r>
    </w:p>
    <w:p w14:paraId="0A602E5A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当前 PyTorch 虚拟环境缺少 pandas 库，程序无法导入相应模块。</w:t>
      </w:r>
    </w:p>
    <w:p w14:paraId="42B7C07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解决办法</w:t>
      </w:r>
    </w:p>
    <w:p w14:paraId="22BE48D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在 Anaconda Prompt 中激活 pytorch 环境后执行 conda install pandas，安装完成后重新运行程序。</w:t>
      </w:r>
    </w:p>
    <w:p w14:paraId="5125EC3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"Figure_52"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图52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AB44958">
      <w:pPr>
        <w:keepNext/>
        <w:keepLines/>
        <w:spacing w:before="60" w:after="40" w:line="240" w:lineRule="auto"/>
        <w:jc w:val="center"/>
      </w:pPr>
      <w:bookmarkStart w:id="110" w:name="Figure_52"/>
      <w:bookmarkStart w:id="111" w:name="Figure_5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154430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5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0"/>
      <w:bookmarkEnd w:id="111"/>
    </w:p>
    <w:p w14:paraId="12CF904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图52  pandas 安装结果</w:t>
      </w:r>
    </w:p>
    <w:p w14:paraId="2E6A2514">
      <w:pPr>
        <w:pStyle w:val="33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9.3.2  缺少 scikit-learn</w:t>
      </w:r>
    </w:p>
    <w:p w14:paraId="43CF512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"Figure_53"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"Figure_53"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图53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7E0EB4F">
      <w:pPr>
        <w:keepNext/>
        <w:keepLines/>
        <w:spacing w:before="60" w:after="40" w:line="240" w:lineRule="auto"/>
        <w:jc w:val="center"/>
      </w:pPr>
      <w:bookmarkStart w:id="112" w:name="Figure_53"/>
      <w:bookmarkStart w:id="113" w:name="Figure_5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636905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3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2"/>
      <w:bookmarkEnd w:id="113"/>
    </w:p>
    <w:p w14:paraId="13DA1064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图53  缺少 scikit-learn 时的报错信息</w:t>
      </w:r>
    </w:p>
    <w:p w14:paraId="07F6D571">
      <w:p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导入名为 sklearn，但安装包名为 scikit-learn；当前 PyTorch Conda 环境缺少该依赖。</w:t>
      </w:r>
    </w:p>
    <w:p w14:paraId="2A9195FA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解决办法</w:t>
      </w:r>
    </w:p>
    <w:p w14:paraId="4C2EC1BA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在 Anaconda Prompt 中激活 pytorch 环境后执行 conda install scikit-learn。</w:t>
      </w:r>
    </w:p>
    <w:p w14:paraId="738D35C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"Figure_54"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"Figure_54"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图54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CD102B3">
      <w:pPr>
        <w:keepNext/>
        <w:keepLines/>
        <w:spacing w:before="60" w:after="40" w:line="240" w:lineRule="auto"/>
        <w:jc w:val="center"/>
      </w:pPr>
      <w:bookmarkStart w:id="114" w:name="Figure_54"/>
      <w:bookmarkStart w:id="115" w:name="Figure_5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2416175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1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4"/>
      <w:bookmarkEnd w:id="115"/>
    </w:p>
    <w:p w14:paraId="66B1FA95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图54  scikit-learn 安装结果</w:t>
      </w:r>
    </w:p>
    <w:p w14:paraId="17E113E6">
      <w:pPr>
        <w:pStyle w:val="33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9.3.3  缺少 openpyxl</w:t>
      </w:r>
    </w:p>
    <w:p w14:paraId="40733F4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"Figure_55"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图55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18A8A67">
      <w:pPr>
        <w:keepNext/>
        <w:keepLines/>
        <w:spacing w:before="60" w:after="40" w:line="240" w:lineRule="auto"/>
        <w:jc w:val="center"/>
      </w:pPr>
      <w:bookmarkStart w:id="116" w:name="Figure_55"/>
      <w:bookmarkStart w:id="117" w:name="Figure_5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876935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6"/>
      <w:bookmarkEnd w:id="117"/>
    </w:p>
    <w:p w14:paraId="59F0C07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图55  缺少 openpyxl 时的报错信息</w:t>
      </w:r>
    </w:p>
    <w:p w14:paraId="35B45A7E">
      <w:p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pandas 读写 .xlsx 文件需要 openpyxl；当前 PyTorch 环境缺少该依赖。</w:t>
      </w:r>
    </w:p>
    <w:p w14:paraId="131F9C26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解决办法</w:t>
      </w:r>
    </w:p>
    <w:p w14:paraId="3BC367A1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在 Anaconda Prompt 中激活 pytorch 环境后执行 conda install openpyxl。</w:t>
      </w:r>
    </w:p>
    <w:p w14:paraId="4C0A861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"Figure_56"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"Figure_56"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图56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1EDE2672">
      <w:pPr>
        <w:keepNext/>
        <w:keepLines/>
        <w:spacing w:before="60" w:after="40" w:line="240" w:lineRule="auto"/>
        <w:jc w:val="center"/>
      </w:pPr>
      <w:bookmarkStart w:id="118" w:name="Figure_56"/>
      <w:bookmarkStart w:id="119" w:name="Figure_5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951230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5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8"/>
      <w:bookmarkEnd w:id="119"/>
    </w:p>
    <w:p w14:paraId="718A717E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图56  openpyxl 安装结果</w:t>
      </w:r>
    </w:p>
    <w:p w14:paraId="4C3B8FBE">
      <w:pPr>
        <w:pStyle w:val="2"/>
        <w:numPr>
          <w:ilvl w:val="0"/>
          <w:numId w:val="0"/>
        </w:numPr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10  TabNet 电力负荷预测</w:t>
      </w:r>
    </w:p>
    <w:p w14:paraId="5E04B075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10.1  运行结果</w:t>
      </w:r>
    </w:p>
    <w:p w14:paraId="13A1BFB3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特征重要性柱状图</w:t>
      </w:r>
    </w:p>
    <w:p w14:paraId="195A5737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作用：可解释分析，看哪个特征最重要，看到 Lag_1 前一日负荷贡献最大。</w:t>
      </w:r>
    </w:p>
    <w:p w14:paraId="7C1A9348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 真实‑预测折线对比图</w:t>
      </w:r>
    </w:p>
    <w:p w14:paraId="4D392E5E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作用：直观展示电力负荷预测效果，看曲线能跟上真实负荷的起伏，代表预测任务完成。</w:t>
      </w:r>
    </w:p>
    <w:p w14:paraId="09A1044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"Figure_57"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"Figure_57"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图57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A46B80C">
      <w:pPr>
        <w:keepNext/>
        <w:keepLines/>
        <w:spacing w:before="60" w:after="40" w:line="240" w:lineRule="auto"/>
        <w:jc w:val="center"/>
      </w:pPr>
      <w:bookmarkStart w:id="120" w:name="Figure_57"/>
      <w:bookmarkStart w:id="121" w:name="Figure_5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619250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0"/>
      <w:bookmarkEnd w:id="121"/>
    </w:p>
    <w:p w14:paraId="7390F6B1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图57  TabNet 特征重要性结果</w:t>
      </w:r>
    </w:p>
    <w:p w14:paraId="4419D39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"Figure_58"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"Figure_58"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图58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4F1F9117">
      <w:pPr>
        <w:keepNext/>
        <w:keepLines/>
        <w:spacing w:before="60" w:after="40" w:line="240" w:lineRule="auto"/>
        <w:jc w:val="center"/>
      </w:pPr>
      <w:bookmarkStart w:id="122" w:name="Figure_58"/>
      <w:bookmarkStart w:id="123" w:name="Figure_5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349375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4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2"/>
      <w:bookmarkEnd w:id="123"/>
    </w:p>
    <w:p w14:paraId="763761AD">
      <w:pPr>
        <w:pStyle w:val="34"/>
        <w:keepLines/>
        <w:spacing w:before="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图58  TabNet 真实值与预测值对比</w:t>
      </w:r>
    </w:p>
    <w:p w14:paraId="7673D23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"Figure_59"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"Figure_59"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图59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3E79B4FA">
      <w:pPr>
        <w:pStyle w:val="34"/>
        <w:keepNext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24" w:name="Figure_59"/>
      <w:bookmarkStart w:id="125" w:name="Figure_5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943100"/>
            <wp:effectExtent l="0" t="0" r="0" b="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4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4"/>
      <w:bookmarkEnd w:id="125"/>
    </w:p>
    <w:p w14:paraId="23B78169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图59  TabNet 参数量及特征重要性数值</w:t>
      </w:r>
    </w:p>
    <w:p w14:paraId="7D9E0DF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"Figure_60"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"Figure_60"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图60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BDC3E2A">
      <w:pPr>
        <w:pStyle w:val="34"/>
        <w:keepNext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26" w:name="Figure_60"/>
      <w:bookmarkStart w:id="127" w:name="Figure_6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802130"/>
            <wp:effectExtent l="0" t="0" r="8255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6"/>
      <w:bookmarkEnd w:id="127"/>
    </w:p>
    <w:p w14:paraId="59BB51A0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图60  TabNet 测试指标与特征重要性输出</w:t>
      </w:r>
    </w:p>
    <w:p w14:paraId="758B258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实验按时间顺序将前80%样本作为训练集、后20%作为测试集，并仅用训练集拟合标准化器。修正目标泄漏后，TabNet在第33轮取得最佳结果，训练时间为31.79秒；标准化尺度下MAE=0.3267、RMSE=0.4785、R²=0.8186。特征重要性图仍表明Lag_1是关键输入，说明前一日负荷对当天负荷具有较强解释力。预测曲线能够跟随主要周期变化，但在突发尖峰和低谷处仍存在较大偏差。</w:t>
      </w:r>
    </w:p>
    <w:p w14:paraId="663ECB48">
      <w:pPr>
        <w:pStyle w:val="2"/>
        <w:numPr>
          <w:ilvl w:val="0"/>
          <w:numId w:val="0"/>
        </w:numPr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>11  FT-Transformer 电力负荷预测</w:t>
      </w:r>
    </w:p>
    <w:p w14:paraId="66149F40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11.1  FT-Transformer 电力负荷预测结果</w:t>
      </w:r>
    </w:p>
    <w:p w14:paraId="56DEC1A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"Figure_61"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"Figure_61"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图61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2868FD7C">
      <w:pPr>
        <w:keepNext/>
        <w:keepLines/>
        <w:numPr>
          <w:ilvl w:val="0"/>
          <w:numId w:val="0"/>
        </w:numPr>
        <w:spacing w:before="60" w:after="40" w:line="240" w:lineRule="auto"/>
        <w:jc w:val="center"/>
      </w:pPr>
      <w:bookmarkStart w:id="128" w:name="Figure_61"/>
      <w:bookmarkStart w:id="129" w:name="Figure_6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094740"/>
            <wp:effectExtent l="0" t="0" r="6350" b="381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9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8"/>
      <w:bookmarkEnd w:id="129"/>
    </w:p>
    <w:p w14:paraId="419861EF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图61  FT-Transformer 训练过程</w:t>
      </w:r>
    </w:p>
    <w:p w14:paraId="2ABC36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相关操作或实验结果如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"Figure_62"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"Figure_62"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图62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所示。</w:t>
      </w:r>
    </w:p>
    <w:p w14:paraId="51FE84D1">
      <w:pPr>
        <w:keepNext/>
        <w:keepLines/>
        <w:spacing w:before="60" w:after="40" w:line="240" w:lineRule="auto"/>
        <w:jc w:val="center"/>
      </w:pPr>
      <w:bookmarkStart w:id="130" w:name="Figure_62"/>
      <w:bookmarkStart w:id="131" w:name="Figure_6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39770" cy="1349375"/>
            <wp:effectExtent l="0" t="0" r="8255" b="13970"/>
            <wp:docPr id="3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4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0"/>
      <w:bookmarkEnd w:id="131"/>
    </w:p>
    <w:p w14:paraId="3FEA8B8B">
      <w:pPr>
        <w:pStyle w:val="34"/>
        <w:keepLines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图62  FT-Transformer 真实值与预测值对比</w:t>
      </w:r>
    </w:p>
    <w:p w14:paraId="48A28F0F">
      <w:pPr>
        <w:pStyle w:val="3"/>
        <w:spacing w:before="260" w:after="260" w:line="240" w:lineRule="auto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30"/>
          <w:szCs w:val="30"/>
        </w:rPr>
        <w:t>11.2  统一条件下的模型比较</w:t>
      </w:r>
    </w:p>
    <w:p w14:paraId="05309E62">
      <w:pPr>
        <w:spacing w:before="0" w:after="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三种模型统一使用Area1_Load工作表的T1200负荷，采用相同的滞后与统计特征、前80%训练/后20%测试的时序划分、随机种子42以及训练集拟合的标准化器。训练时间仅统计模型训练过程；运行环境为5核CPU，因此时间会随硬件变化。</w:t>
      </w:r>
    </w:p>
    <w:p w14:paraId="78D3D93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三种电力负荷预测模型的量化结果见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"Table_5"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表5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。</w:t>
      </w:r>
    </w:p>
    <w:p w14:paraId="7C323B3A">
      <w:pPr>
        <w:spacing w:before="120" w:after="60" w:line="240" w:lineRule="auto"/>
        <w:jc w:val="center"/>
      </w:pPr>
      <w:bookmarkStart w:id="132" w:name="Table_5"/>
      <w:bookmarkStart w:id="133" w:name="Table_5"/>
      <w:r>
        <w:rPr>
          <w:rFonts w:ascii="Times New Roman" w:hAnsi="Times New Roman" w:eastAsia="宋体" w:cs="Times New Roman"/>
          <w:b w:val="0"/>
          <w:bCs w:val="0"/>
          <w:sz w:val="21"/>
          <w:szCs w:val="21"/>
        </w:rPr>
        <w:t>表5  MLP、TabNet与FT-Transformer结果对比</w:t>
      </w:r>
      <w:bookmarkEnd w:id="132"/>
      <w:bookmarkEnd w:id="133"/>
    </w:p>
    <w:tbl>
      <w:tblPr>
        <w:tblW w:w="4165" w:type="pct"/>
        <w:jc w:val="center"/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8"/>
        <w:gridCol w:w="871"/>
        <w:gridCol w:w="797"/>
        <w:gridCol w:w="1129"/>
        <w:gridCol w:w="818"/>
        <w:gridCol w:w="1300"/>
        <w:gridCol w:w="1300"/>
      </w:tblGrid>
      <w:tr w14:paraId="5E46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 w:val="1"/>
          <w:jc w:val="center"/>
          <w:cantSplit w:val="1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5FCB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模型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2DB1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参数量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5D65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最佳轮次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18F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训练时间（s）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74A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MAE</w:t>
            </w:r>
          </w:p>
        </w:tc>
        <w:tc>
          <w:tcPr>
            <w:tcW w:w="1300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1BCFB3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RMSE</w:t>
            </w:r>
          </w:p>
        </w:tc>
        <w:tc>
          <w:tcPr>
            <w:tcW w:w="1300" w:type="dxa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 w14:paraId="3E344C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R²</w:t>
            </w:r>
          </w:p>
        </w:tc>
      </w:tr>
      <w:tr w14:paraId="782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DFF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MLP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8C4D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13231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6BA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14B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7.52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B94D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0.2389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27F35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0.4071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3DB4D94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0.8687</w:t>
            </w:r>
          </w:p>
        </w:tc>
      </w:tr>
      <w:tr w14:paraId="36BD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AF4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TabNet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C99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27140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1B3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8198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31.79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7DB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0.3267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142F78B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0.4785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73F38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0.8186</w:t>
            </w:r>
          </w:p>
        </w:tc>
      </w:tr>
      <w:tr w14:paraId="1AD5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  <w:cantSplit w:val="1"/>
        </w:trPr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488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FT-Transformer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1F5C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599425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A32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31E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96.94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49E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0.2331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3C72AD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0.4061</w:t>
            </w:r>
          </w:p>
        </w:tc>
        <w:tc>
          <w:tcPr>
            <w:tcW w:w="1300" w:type="dxa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 w14:paraId="76CBDDC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0.8694</w:t>
            </w:r>
          </w:p>
        </w:tc>
      </w:tr>
    </w:tbl>
    <w:p w14:paraId="2AAF344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由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instrText xml:space="preserve"> HYPERLINK \l "Table_5" </w:instrTex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fldChar w:fldCharType="separate"/>
      </w:r>
      <w:r>
        <w:fldChar w:fldCharType="begin"/>
      </w:r>
      <w:r>
        <w:instrText xml:space="preserve"> HYPERLINK \l "Table_5" </w:instrText>
      </w:r>
      <w:r>
        <w:fldChar w:fldCharType="separate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t>表5</w:t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可知，在统一且无目标泄漏的评价条件下，FT-Transformer的R²最高（0.8694），但训练时间最长（96.94秒），参数量也显著高于另外两种模型；MLP的R²为0.8687，与FT-Transformer非常接近，而训练仅需7.52秒，体现出更好的计算效率；TabNet的R²为0.8186，训练时间为31.79秒，本次设置下精度低于MLP和FT-Transformer，但其特征重要性提供了更直接的可解释结果。综合精度和效率，MLP是本实验中更均衡的方案。</w:t>
      </w:r>
    </w:p>
    <w:p w14:paraId="02472C83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修正连续特征映射层后，FT-Transformer的参数量为599,425，在第120轮获得最佳结果：标准化尺度下MAE=0.2331、RMSE=0.4061、R²=0.8694。其预测曲线能够跟随整体趋势和周期变化，但对突发尖峰与骤降的拟合仍较弱。与MLP相比，FT-Transformer的R²仅提高约0.0007，却增加了参数量和训练时间，说明当前样本规模下复杂注意力结构未带来明显收益。</w:t>
      </w:r>
    </w:p>
    <w:sectPr>
      <w:footerReference r:id="rId5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8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6085F31"/>
    <w:rsid w:val="075F6EB2"/>
    <w:rsid w:val="0F9D2C6D"/>
    <w:rsid w:val="10594DE6"/>
    <w:rsid w:val="17CE7E68"/>
    <w:rsid w:val="1A181B9F"/>
    <w:rsid w:val="20D65B6A"/>
    <w:rsid w:val="280F6544"/>
    <w:rsid w:val="294F3DC5"/>
    <w:rsid w:val="2B362276"/>
    <w:rsid w:val="34B85623"/>
    <w:rsid w:val="3D121CF5"/>
    <w:rsid w:val="436505E5"/>
    <w:rsid w:val="444C059D"/>
    <w:rsid w:val="4670085D"/>
    <w:rsid w:val="4F986114"/>
    <w:rsid w:val="5D9E5D76"/>
    <w:rsid w:val="6A7321DD"/>
    <w:rsid w:val="6DF800C1"/>
    <w:rsid w:val="72A76461"/>
    <w:rsid w:val="7B30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黑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 w:eastAsia="黑体" w:cs="Times New Roman"/>
      <w:b/>
      <w:bCs/>
      <w:sz w:val="30"/>
      <w:szCs w:val="32"/>
    </w:rPr>
  </w:style>
  <w:style w:type="paragraph" w:styleId="5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Times New Roman" w:hAnsi="Times New Roman" w:eastAsia="黑体" w:cs="宋体"/>
      <w:b/>
      <w:bCs/>
      <w:kern w:val="0"/>
      <w:sz w:val="28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1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annotation subject"/>
    <w:basedOn w:val="6"/>
    <w:next w:val="6"/>
    <w:link w:val="31"/>
    <w:semiHidden/>
    <w:unhideWhenUsed/>
    <w:uiPriority w:val="99"/>
    <w:rPr>
      <w:b/>
      <w:bCs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9"/>
    <w:uiPriority w:val="99"/>
    <w:rPr>
      <w:sz w:val="18"/>
      <w:szCs w:val="18"/>
    </w:rPr>
  </w:style>
  <w:style w:type="character" w:customStyle="1" w:styleId="25">
    <w:name w:val="页脚 字符"/>
    <w:basedOn w:val="17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批注文字 字符"/>
    <w:basedOn w:val="17"/>
    <w:link w:val="6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4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批注框文本 字符"/>
    <w:basedOn w:val="17"/>
    <w:link w:val="7"/>
    <w:semiHidden/>
    <w:uiPriority w:val="99"/>
    <w:rPr>
      <w:kern w:val="2"/>
      <w:sz w:val="18"/>
      <w:szCs w:val="18"/>
    </w:rPr>
  </w:style>
  <w:style w:type="paragraph" w:customStyle="1" w:styleId="33">
    <w:name w:val="heading 3"/>
    <w:basedOn w:val="1"/>
    <w:uiPriority w:val="0"/>
  </w:style>
  <w:style w:type="paragraph" w:customStyle="1" w:styleId="34">
    <w:name w:val="caption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1" Type="http://schemas.openxmlformats.org/officeDocument/2006/relationships/fontTable" Target="fontTable.xml"/><Relationship Id="rId70" Type="http://schemas.openxmlformats.org/officeDocument/2006/relationships/customXml" Target="../customXml/item1.xml"/><Relationship Id="rId7" Type="http://schemas.openxmlformats.org/officeDocument/2006/relationships/image" Target="media/image1.png"/><Relationship Id="rId69" Type="http://schemas.openxmlformats.org/officeDocument/2006/relationships/numbering" Target="numbering.xml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230</Words>
  <Characters>399</Characters>
  <Lines>3</Lines>
  <Paragraphs>1</Paragraphs>
  <TotalTime>4</TotalTime>
  <ScaleCrop>false</ScaleCrop>
  <LinksUpToDate>false</LinksUpToDate>
  <CharactersWithSpaces>436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2026-10-26T07:48:54Z</dcterms:modified>
  <dc:subject>课程实验结果、问题分析与模型比较</dc:subject>
  <dc:title>《深度学习案例与实践》实验报告（表格按模板修订版）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80F4CE03A2084A04B5F255E50C3CB52F_13</vt:lpwstr>
  </property>
  <property fmtid="{D5CDD505-2E9C-101B-9397-08002B2CF9AE}" pid="4" name="KSOTemplateDocerSaveRecord">
    <vt:lpwstr>eyJoZGlkIjoiYjRlNGE5NTQxNDkwMThlMTBiNTlhNzhlMTMyOTdhZjYiLCJ1c2VySWQiOiIxMjYxOTIyNDg2In0=</vt:lpwstr>
  </property>
</Properties>
</file>