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6E78">
      <w:pPr>
        <w:jc w:val="center"/>
        <w:rPr>
          <w:rFonts w:ascii="Times New Roman" w:hAnsi="Times New Roman" w:cs="Times New Roman"/>
        </w:rPr>
      </w:pPr>
    </w:p>
    <w:p w14:paraId="79F4F161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04296642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326C5F17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555D5C21">
      <w:pPr>
        <w:spacing w:before="0" w:after="0" w:line="240" w:lineRule="auto"/>
        <w:ind/>
        <w:jc w:val="center"/>
        <w:rPr>
          <w:rFonts w:ascii="Times New Roman" w:hAnsi="Times New Roman" w:eastAsia="华文中宋" w:cs="Times New Roman"/>
          <w:b/>
          <w:sz w:val="72"/>
        </w:rPr>
      </w:pPr>
      <w:r>
        <w:rPr>
          <w:rFonts w:hint="eastAsia" w:ascii="Times New Roman" w:hAnsi="Times New Roman" w:eastAsia="宋体" w:cs="Times New Roman"/>
          <w:b/>
          <w:color w:val="000000"/>
          <w:sz w:val="24"/>
        </w:rPr>
        <w:t>《深度学习案例与实践》</w:t>
      </w:r>
    </w:p>
    <w:p w14:paraId="230EE91B">
      <w:pPr>
        <w:spacing w:before="0" w:after="0" w:line="240" w:lineRule="auto"/>
        <w:ind/>
        <w:jc w:val="center"/>
        <w:rPr>
          <w:rFonts w:ascii="Times New Roman" w:hAnsi="Times New Roman" w:eastAsia="华文中宋" w:cs="Times New Roman"/>
          <w:b/>
          <w:sz w:val="20"/>
        </w:rPr>
      </w:pPr>
      <w:r>
        <w:rPr>
          <w:rFonts w:ascii="Times New Roman" w:hAnsi="Times New Roman" w:eastAsia="宋体" w:cs="Times New Roman"/>
          <w:b/>
          <w:color w:val="000000"/>
          <w:sz w:val="24"/>
        </w:rPr>
        <w:t>报告</w:t>
      </w:r>
    </w:p>
    <w:p w14:paraId="0E117FDC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04BB83A6">
      <w:pPr>
        <w:rPr>
          <w:rFonts w:ascii="Times New Roman" w:hAnsi="Times New Roman" w:cs="Times New Roman"/>
        </w:rPr>
      </w:pPr>
    </w:p>
    <w:p w14:paraId="28B62516">
      <w:pPr>
        <w:rPr>
          <w:rFonts w:ascii="Times New Roman" w:hAnsi="Times New Roman" w:cs="Times New Roman"/>
        </w:rPr>
      </w:pPr>
    </w:p>
    <w:tbl>
      <w:tblPr>
        <w:tblStyle w:val="15"/>
        <w:tblW w:w="68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 w14:paraId="1B58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6EB99628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/>
                <w:kern w:val="10"/>
                <w:sz w:val="21"/>
              </w:rPr>
              <w:t>学    院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vAlign w:val="center"/>
          </w:tcPr>
          <w:p w14:paraId="5848E31F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【请填写学院】</w:t>
            </w:r>
          </w:p>
        </w:tc>
      </w:tr>
      <w:tr w14:paraId="3B6A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2D86A3CF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专    业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AF973C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【请填写专业】</w:t>
            </w:r>
          </w:p>
        </w:tc>
      </w:tr>
      <w:tr w14:paraId="4B3D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052" w:type="dxa"/>
            <w:vAlign w:val="center"/>
          </w:tcPr>
          <w:p w14:paraId="0087EF54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学    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8FD43A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【请填写学号】</w:t>
            </w:r>
          </w:p>
        </w:tc>
      </w:tr>
      <w:tr w14:paraId="719C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052" w:type="dxa"/>
            <w:vAlign w:val="center"/>
          </w:tcPr>
          <w:p w14:paraId="20CA4AAA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姓    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1991AE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【请填写姓名】</w:t>
            </w:r>
          </w:p>
        </w:tc>
      </w:tr>
    </w:tbl>
    <w:p w14:paraId="3292E7E4">
      <w:pPr>
        <w:spacing w:line="600" w:lineRule="exact"/>
        <w:jc w:val="center"/>
        <w:rPr>
          <w:rFonts w:ascii="Times New Roman" w:hAnsi="Times New Roman" w:eastAsia="黑体" w:cs="Times New Roman"/>
          <w:spacing w:val="22"/>
          <w:kern w:val="10"/>
          <w:sz w:val="30"/>
        </w:rPr>
      </w:pPr>
    </w:p>
    <w:p w14:paraId="7CAF00BF">
      <w:pPr>
        <w:widowControl/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eastAsia="宋体"/>
          <w:color w:val="000000"/>
          <w:sz w:val="24"/>
          <w:szCs w:val="18"/>
        </w:rPr>
        <w:br w:type="page"/>
      </w:r>
    </w:p>
    <w:p w14:paraId="71B3E9BC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03E6DFE5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tbl>
      <w:tblPr>
        <w:tblStyle w:val="1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3"/>
        <w:gridCol w:w="2858"/>
      </w:tblGrid>
      <w:tr w14:paraId="79C24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  <w:jc w:val="center"/>
        </w:trPr>
        <w:tc>
          <w:tcPr>
            <w:tcW w:w="2831" w:type="dxa"/>
            <w:vAlign w:val="center"/>
          </w:tcPr>
          <w:p w14:paraId="0DA6F61C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33" w:type="dxa"/>
            <w:vAlign w:val="center"/>
          </w:tcPr>
          <w:p w14:paraId="593C37E2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58" w:type="dxa"/>
            <w:vAlign w:val="center"/>
          </w:tcPr>
          <w:p w14:paraId="7638BD47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</w:tbl>
    <w:p w14:paraId="75235A59">
      <w:pPr>
        <w:pStyle w:val="2"/>
        <w:spacing w:before="240" w:after="240"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1  Anaconda 下载与环境配置</w:t>
      </w:r>
    </w:p>
    <w:p w14:paraId="07A0EBB3">
      <w:pPr>
        <w:pStyle w:val="3"/>
        <w:spacing w:before="120" w:after="120" w:line="24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1.1  下载页面</w:t>
      </w:r>
    </w:p>
    <w:p w14:paraId="014510E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相关操作或实验结果如图1所示。</w:t>
      </w:r>
    </w:p>
    <w:p w14:paraId="231E63A7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825268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2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CDE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  Anaconda 官方下载页面</w:t>
      </w:r>
    </w:p>
    <w:p w14:paraId="7079FCF6">
      <w:pPr>
        <w:pStyle w:val="13"/>
        <w:keepNext w:val="0"/>
        <w:keepLines w:val="0"/>
        <w:widowControl/>
        <w:suppressLineNumbers w:val="0"/>
        <w:spacing w:before="0" w:after="0" w:line="360" w:lineRule="auto"/>
        <w:ind w:right="720" w:firstLine="480"/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2.</w:t>
      </w: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不要点绿色</w:t>
      </w:r>
      <w:r>
        <w:rPr>
          <w:rStyle w:val="21"/>
          <w:rFonts w:hint="eastAsia" w:ascii="Times New Roman" w:hAnsi="Times New Roman" w:eastAsia="宋体" w:cs="宋体"/>
          <w:color w:val="000000"/>
          <w:sz w:val="24"/>
          <w:szCs w:val="24"/>
        </w:rPr>
        <w:t>Get Started</w:t>
      </w: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，那个会要求注册账号。直接用</w:t>
      </w:r>
      <w:r>
        <w:rPr>
          <w:rStyle w:val="18"/>
          <w:rFonts w:hint="eastAsia" w:ascii="Times New Roman" w:hAnsi="Times New Roman" w:eastAsia="宋体" w:cs="宋体"/>
          <w:color w:val="000000"/>
          <w:sz w:val="24"/>
          <w:szCs w:val="24"/>
        </w:rPr>
        <w:t>Skip Registration 跳过注册</w:t>
      </w: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，绕开登录即可下载安装包。</w:t>
      </w:r>
    </w:p>
    <w:p w14:paraId="7DB6569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3.官网下载慢，用清华的镜像网站</w:t>
      </w:r>
    </w:p>
    <w:p w14:paraId="31F42B9B">
      <w:p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color w:val="000000"/>
          <w:sz w:val="24"/>
          <w:szCs w:val="24"/>
        </w:rPr>
        <w:fldChar w:fldCharType="begin"/>
      </w:r>
      <w:r>
        <w:rPr>
          <w:rFonts w:ascii="Times New Roman" w:hAnsi="Times New Roman" w:eastAsia="宋体" w:cs="宋体"/>
          <w:color w:val="000000"/>
          <w:sz w:val="24"/>
          <w:szCs w:val="24"/>
        </w:rPr>
        <w:instrText xml:space="preserve"> HYPERLINK "https://mirrors.tuna.tsinghua.edu.cn/anaconda/archive/" </w:instrText>
      </w:r>
      <w:r>
        <w:rPr>
          <w:rFonts w:ascii="Times New Roman" w:hAnsi="Times New Roman" w:eastAsia="宋体" w:cs="宋体"/>
          <w:color w:val="000000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宋体"/>
          <w:color w:val="000000"/>
          <w:sz w:val="24"/>
          <w:szCs w:val="24"/>
        </w:rPr>
        <w:t>https://mirrors.tuna.tsinghua.edu.cn/anaconda/archive/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宋体" w:cs="宋体"/>
          <w:color w:val="000000"/>
          <w:sz w:val="24"/>
          <w:szCs w:val="24"/>
        </w:rPr>
        <w:t xml:space="preserve"> 找到最新版本的 Anaconda3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宋体"/>
          <w:color w:val="000000"/>
          <w:sz w:val="24"/>
          <w:szCs w:val="24"/>
        </w:rPr>
        <w:t>xxx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宋体"/>
          <w:color w:val="000000"/>
          <w:sz w:val="24"/>
          <w:szCs w:val="24"/>
        </w:rPr>
        <w:t>Windows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宋体"/>
          <w:color w:val="000000"/>
          <w:sz w:val="24"/>
          <w:szCs w:val="24"/>
        </w:rPr>
        <w:t>x86_64.exe 下载。</w:t>
      </w:r>
    </w:p>
    <w:p w14:paraId="5A933CC6">
      <w:pPr>
        <w:spacing w:before="0" w:after="0" w:line="360" w:lineRule="auto"/>
        <w:ind w:firstLine="480"/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4.</w:t>
      </w:r>
    </w:p>
    <w:p w14:paraId="7DEBC6F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相关操作或实验结果如图2所示。</w:t>
      </w:r>
    </w:p>
    <w:p w14:paraId="1FCC7614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589678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89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3EAA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  Anaconda 发行版选择页面</w:t>
      </w:r>
    </w:p>
    <w:p w14:paraId="4A0E0269">
      <w:pPr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选择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Anaconda Distribution</w:t>
      </w: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这个</w:t>
      </w:r>
    </w:p>
    <w:p w14:paraId="081DD1BE">
      <w:pPr>
        <w:spacing w:before="0" w:after="0"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5.检验是否安装</w:t>
      </w:r>
    </w:p>
    <w:p w14:paraId="147A5078">
      <w:pPr>
        <w:spacing w:before="0" w:after="0" w:line="360" w:lineRule="auto"/>
        <w:ind w:firstLine="480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输入win+R，控制面板内输入conda出现下图所示，说明安装成</w:t>
      </w:r>
    </w:p>
    <w:p w14:paraId="2AE3A1A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相关操作或实验结果如图3所示。</w:t>
      </w:r>
    </w:p>
    <w:p w14:paraId="00318F5A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973624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7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394B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  Conda 命令检验</w:t>
      </w:r>
    </w:p>
    <w:p w14:paraId="6B36B0C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相关操作或实验结果如图4所示。</w:t>
      </w:r>
    </w:p>
    <w:p w14:paraId="12B81B27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959732"/>
            <wp:effectExtent l="0" t="0" r="571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5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EAA5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  Conda 环境信息输出结果</w:t>
      </w:r>
    </w:p>
    <w:p w14:paraId="21DFE247">
      <w:pPr>
        <w:pStyle w:val="2"/>
        <w:numPr>
          <w:ilvl w:val="0"/>
          <w:numId w:val="0"/>
        </w:numPr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2  CPU 版 PyTorch 安装与张量测试</w:t>
      </w:r>
    </w:p>
    <w:p w14:paraId="56B3E40F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打开Anaconda Prompt</w:t>
      </w:r>
    </w:p>
    <w:p w14:paraId="4D65C14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相关操作或实验结果如图5所示。</w:t>
      </w:r>
    </w:p>
    <w:p w14:paraId="73050A78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638427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3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8E83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  Anaconda Prompt 界面</w:t>
      </w:r>
    </w:p>
    <w:p w14:paraId="0E05A0A4">
      <w:pPr>
        <w:numPr>
          <w:ilvl w:val="0"/>
          <w:numId w:val="0"/>
        </w:numPr>
      </w:pPr>
    </w:p>
    <w:p w14:paraId="3331B418">
      <w:pPr>
        <w:numPr>
          <w:ilvl w:val="0"/>
          <w:numId w:val="0"/>
        </w:numPr>
      </w:pPr>
    </w:p>
    <w:p w14:paraId="479F8E2A">
      <w:pPr>
        <w:numPr>
          <w:ilvl w:val="0"/>
          <w:numId w:val="0"/>
        </w:numPr>
      </w:pPr>
    </w:p>
    <w:p w14:paraId="6B478824">
      <w:pPr>
        <w:numPr>
          <w:ilvl w:val="0"/>
          <w:numId w:val="0"/>
        </w:numPr>
      </w:pPr>
    </w:p>
    <w:p w14:paraId="1FE08A6E">
      <w:pPr>
        <w:numPr>
          <w:ilvl w:val="0"/>
          <w:numId w:val="0"/>
        </w:numPr>
      </w:pPr>
    </w:p>
    <w:p w14:paraId="029C6D6F">
      <w:pPr>
        <w:numPr>
          <w:ilvl w:val="0"/>
          <w:numId w:val="0"/>
        </w:numPr>
      </w:pPr>
    </w:p>
    <w:p w14:paraId="1091356A">
      <w:pPr>
        <w:numPr>
          <w:ilvl w:val="0"/>
          <w:numId w:val="0"/>
        </w:numPr>
      </w:pPr>
    </w:p>
    <w:p w14:paraId="0A4D4620">
      <w:pPr>
        <w:numPr>
          <w:ilvl w:val="0"/>
          <w:numId w:val="0"/>
        </w:numPr>
      </w:pPr>
    </w:p>
    <w:p w14:paraId="042D093D">
      <w:pPr>
        <w:numPr>
          <w:ilvl w:val="0"/>
          <w:numId w:val="0"/>
        </w:numPr>
      </w:pPr>
    </w:p>
    <w:p w14:paraId="3346C7CB">
      <w:pPr>
        <w:numPr>
          <w:ilvl w:val="0"/>
          <w:numId w:val="0"/>
        </w:numPr>
      </w:pPr>
    </w:p>
    <w:p w14:paraId="65F491FF">
      <w:pPr>
        <w:numPr>
          <w:ilvl w:val="0"/>
          <w:numId w:val="0"/>
        </w:numPr>
      </w:pPr>
    </w:p>
    <w:p w14:paraId="0449C1C0">
      <w:pPr>
        <w:numPr>
          <w:ilvl w:val="0"/>
          <w:numId w:val="0"/>
        </w:numPr>
      </w:pPr>
    </w:p>
    <w:p w14:paraId="28664ACD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输入指令conda create -n pytorch Python=3.12.7</w:t>
      </w:r>
    </w:p>
    <w:p w14:paraId="2DC9D61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相关操作或实验结果如图6所示。</w:t>
      </w:r>
    </w:p>
    <w:p w14:paraId="628E0DE0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621350"/>
            <wp:effectExtent l="0" t="0" r="1397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6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14FB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图6  PyTorch 虚拟环境创建结果</w:t>
      </w:r>
    </w:p>
    <w:p w14:paraId="3A2D8446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安装成功</w:t>
      </w:r>
    </w:p>
    <w:p w14:paraId="64B7A454">
      <w:pPr>
        <w:numPr>
          <w:ilvl w:val="0"/>
          <w:numId w:val="0"/>
        </w:numPr>
      </w:pPr>
    </w:p>
    <w:p w14:paraId="7803CEFC">
      <w:pPr>
        <w:numPr>
          <w:ilvl w:val="0"/>
          <w:numId w:val="0"/>
        </w:num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激活虚拟环境</w:t>
      </w:r>
    </w:p>
    <w:p w14:paraId="5A8B83A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相关操作或实验结果如图7所示。</w:t>
      </w:r>
    </w:p>
    <w:p w14:paraId="4BE664E7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15105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EAE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图7  PyTorch 虚拟环境激活结果</w:t>
      </w:r>
    </w:p>
    <w:p w14:paraId="34E692D0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成功激活虚拟环境</w:t>
      </w:r>
    </w:p>
    <w:p w14:paraId="628E5249">
      <w:pPr>
        <w:numPr>
          <w:ilvl w:val="0"/>
          <w:numId w:val="0"/>
        </w:numPr>
        <w:spacing w:before="0" w:after="0" w:line="360" w:lineRule="auto"/>
        <w:ind w:left="0" w:leftChars="0" w:firstLineChars="0"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在 pytorch环境下，安装 CPU 版 PyTorch</w:t>
      </w:r>
    </w:p>
    <w:p w14:paraId="231F1EF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相关操作或实验结果如图8所示。</w:t>
      </w:r>
    </w:p>
    <w:p w14:paraId="3E22E8ED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969734"/>
            <wp:effectExtent l="0" t="0" r="317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6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F31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图8  CPU 版 PyTorch 安装结果</w:t>
      </w:r>
    </w:p>
    <w:p w14:paraId="50A38F0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1C1F7EA">
      <w:pPr>
        <w:numPr>
          <w:ilvl w:val="0"/>
          <w:numId w:val="1"/>
        </w:numPr>
        <w:bidi w:val="0"/>
        <w:spacing w:before="0" w:after="0" w:line="360" w:lineRule="auto"/>
        <w:ind w:firstLine="480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打印一个张量</w:t>
      </w:r>
    </w:p>
    <w:p w14:paraId="7F66FC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相关操作或实验结果如图9所示。</w:t>
      </w:r>
    </w:p>
    <w:p w14:paraId="3C5EA19C">
      <w:pPr>
        <w:numPr>
          <w:ilvl w:val="0"/>
          <w:numId w:val="0"/>
        </w:numPr>
        <w:bidi w:val="0"/>
        <w:spacing w:before="60" w:after="40"/>
        <w:jc w:val="center"/>
        <w:rPr>
          <w:rFonts w:hint="default"/>
          <w:lang w:val="en-US" w:eastAsia="zh-CN"/>
        </w:rPr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489811"/>
            <wp:effectExtent l="0" t="0" r="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8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A43E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图9  PyTorch 张量创建与输出结果</w:t>
      </w:r>
    </w:p>
    <w:p w14:paraId="7E82BB43">
      <w:pPr>
        <w:pStyle w:val="2"/>
        <w:numPr>
          <w:ilvl w:val="0"/>
          <w:numId w:val="0"/>
        </w:numPr>
        <w:spacing w:before="240" w:after="240" w:line="240" w:lineRule="auto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  全连接网络手写数字识别</w:t>
      </w:r>
    </w:p>
    <w:p w14:paraId="4A37764F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3.1  基线模型运行结果</w:t>
      </w:r>
    </w:p>
    <w:p w14:paraId="709E301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相关操作或实验结果如图10所示。</w:t>
      </w:r>
    </w:p>
    <w:p w14:paraId="707B9635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854162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5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A77A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图10  全连接网络基线训练过程</w:t>
      </w:r>
    </w:p>
    <w:p w14:paraId="1BD3052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相关操作或实验结果如图11所示。</w:t>
      </w:r>
    </w:p>
    <w:p w14:paraId="4CF9D2D5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313118"/>
            <wp:effectExtent l="0" t="0" r="6350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1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6C3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图11  全连接网络基线准确率曲线</w:t>
      </w:r>
    </w:p>
    <w:p w14:paraId="007D305F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3.2  隐藏层宽度调整</w:t>
      </w:r>
    </w:p>
    <w:p w14:paraId="7ECFE412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将隐藏层从128改为256，观察准确率变化</w:t>
      </w:r>
    </w:p>
    <w:p w14:paraId="1D37D5A4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将这几段代码的128改为256，</w:t>
      </w:r>
      <w:r>
        <w:rPr>
          <w:rFonts w:ascii="Times New Roman" w:hAnsi="Times New Roman" w:eastAsia="宋体"/>
          <w:color w:val="000000"/>
          <w:sz w:val="24"/>
        </w:rPr>
        <w:t>对比之前 128 神经元的准确率：</w:t>
      </w:r>
    </w:p>
    <w:p w14:paraId="748AFB17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将隐藏层由 128 个神经元增至 256 个后，参数量和模型容量均增加。结合本次运行结果进行比较，训练拟合能力有所增强；测试准确率是否提升仍取决于随机初始化、训练轮数和正则化设置，不能仅凭网络变宽推断必然改善。</w:t>
      </w:r>
    </w:p>
    <w:p w14:paraId="52A21BC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相关操作或实验结果如图12所示。</w:t>
      </w:r>
    </w:p>
    <w:p w14:paraId="1C3619C7">
      <w:pPr>
        <w:numPr>
          <w:ilvl w:val="0"/>
          <w:numId w:val="0"/>
        </w:numPr>
        <w:spacing w:before="60" w:after="40"/>
        <w:jc w:val="center"/>
        <w:rPr>
          <w:rFonts w:hint="eastAsia"/>
          <w:lang w:val="en-US" w:eastAsia="zh-CN"/>
        </w:rPr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432286"/>
            <wp:effectExtent l="0" t="0" r="5080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3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CE4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图12  隐藏层宽度调整代码</w:t>
      </w:r>
    </w:p>
    <w:p w14:paraId="7E4AD3F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相关操作或实验结果如图13所示。</w:t>
      </w:r>
    </w:p>
    <w:p w14:paraId="6CBE3A1A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35328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3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8C67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图13  隐藏层宽度调整后的训练结果</w:t>
      </w:r>
    </w:p>
    <w:p w14:paraId="502228B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相关操作或实验结果如图14所示。</w:t>
      </w:r>
    </w:p>
    <w:p w14:paraId="5648FEFF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376461"/>
            <wp:effectExtent l="0" t="0" r="508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76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346B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图14  隐藏层宽度调整后的准确率曲线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隐藏层宽度实验的量化结果见表1。</w:t>
      </w:r>
    </w:p>
    <w:p>
      <w:pPr>
        <w:spacing w:line="240" w:lineRule="auto" w:before="60" w:after="120"/>
        <w:jc w:val="center"/>
      </w:pPr>
      <w:r>
        <w:rPr>
          <w:rFonts w:ascii="Times New Roman" w:hAnsi="Times New Roman" w:eastAsia="宋体"/>
          <w:color w:val="000000"/>
          <w:sz w:val="21"/>
        </w:rPr>
        <w:t>表1  隐藏层宽度对准确率和损失的影响</w:t>
      </w:r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2051"/>
        <w:gridCol w:w="2051"/>
        <w:gridCol w:w="1826"/>
        <w:gridCol w:w="1826"/>
      </w:tblGrid>
      <w:tr w14:paraId="36EBF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3A2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隐藏层神经元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233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训练集最终准确率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505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测试集最终准确率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720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训练集最终损失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2A9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测试集最终损失</w:t>
            </w:r>
          </w:p>
        </w:tc>
      </w:tr>
      <w:tr w14:paraId="7B421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D404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0087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98.72%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1ECB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168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0.0268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F532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0.0313</w:t>
            </w:r>
          </w:p>
        </w:tc>
      </w:tr>
      <w:tr w14:paraId="0FE9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B03F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A69E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99.01%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20A1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97.90%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B5C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0.0199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6C52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0.0284</w:t>
            </w:r>
          </w:p>
        </w:tc>
      </w:tr>
    </w:tbl>
    <w:p w14:paraId="7D117D94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将隐藏层神经元数量由 128 修改为 256，本实验组严格控制变量，</w:t>
      </w:r>
      <w:r>
        <w:rPr>
          <w:rStyle w:val="18"/>
          <w:rFonts w:ascii="Times New Roman" w:hAnsi="Times New Roman" w:eastAsia="宋体"/>
          <w:color w:val="000000"/>
          <w:sz w:val="24"/>
        </w:rPr>
        <w:t>数据集划分方式、训练迭代轮数、优化器、学习率、随机种子全部保持一致，仅修改隐藏层神经元个数</w:t>
      </w:r>
      <w:r>
        <w:rPr>
          <w:rFonts w:ascii="Times New Roman" w:hAnsi="Times New Roman" w:eastAsia="宋体"/>
          <w:color w:val="000000"/>
          <w:sz w:val="24"/>
        </w:rPr>
        <w:t>，消除其他因素对实验结果带来的干扰，实验结果如表所示。</w:t>
      </w:r>
    </w:p>
    <w:p w14:paraId="0AAA7FFB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由表 可以看出，隐藏层神经元从 128 增加到 256 后，训练集准确率由 98.72% 提升至 99.01%，训练损失由 0.0268 降低至 0.0199；测试集准确率由 97.37% 提升至 97.90%，测试损失由 0.0313 降低至 0.0284。增大隐藏层神经元数量扩大了模型容量，模型学习特征的能力变强，在 MNIST 手写数字识别任务上训练、测试指标均有小幅提升。 但需要注意，神经元数量不是越大性能就一定越好。当任务复杂度升高、数据集样本有限时，一味增大神经元数目，会出现训练集效果持续变好，但测试集性能下降的过拟合现象。</w:t>
      </w:r>
    </w:p>
    <w:p w14:paraId="6B6A186E">
      <w:pPr>
        <w:pStyle w:val="3"/>
        <w:numPr>
          <w:ilvl w:val="0"/>
          <w:numId w:val="0"/>
        </w:numPr>
        <w:spacing w:before="120" w:after="120" w:line="240" w:lineRule="auto"/>
        <w:rPr>
          <w:rFonts w:ascii="Times New Roman" w:hAnsi="Times New Roman" w:eastAsia="黑体"/>
          <w:b/>
          <w:sz w:val="30"/>
        </w:rPr>
      </w:pPr>
    </w:p>
    <w:p w14:paraId="453A8A57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3.3  优化器对比</w:t>
      </w:r>
    </w:p>
    <w:p w14:paraId="60E488A8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将Adam替换成SGD观察收敛速度</w:t>
      </w:r>
    </w:p>
    <w:p w14:paraId="0E212DEA">
      <w:pPr>
        <w:numPr>
          <w:ilvl w:val="0"/>
          <w:numId w:val="0"/>
        </w:num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在学习率等设置保持一致的本次实验中，Adam 前期准确率提升更快；SGD 的收敛较缓慢。该结果与优化器的自适应学习率机制有关，但公平比较还应分别调节学习率并重复多次实验。</w:t>
      </w:r>
    </w:p>
    <w:p w14:paraId="17E4CDC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相关操作或实验结果如图15所示。</w:t>
      </w:r>
    </w:p>
    <w:p w14:paraId="08BDAF13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593714"/>
            <wp:effectExtent l="0" t="0" r="889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9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BD31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图15  Adam 优化器训练结果</w:t>
      </w:r>
    </w:p>
    <w:p w14:paraId="1ECEF5D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相关操作或实验结果如图16所示。</w:t>
      </w:r>
    </w:p>
    <w:p w14:paraId="68CE5F48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710954"/>
            <wp:effectExtent l="0" t="0" r="571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10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21E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图16  SGD 优化器训练结果</w:t>
      </w:r>
    </w:p>
    <w:p w14:paraId="3AF04650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本实验将优化器由 Adam 替换为 SGD，严格控制变量：数据集划分方式、网络结构、隐藏层神经元数量、最大训练轮数、随机种子保持一致，仅改变优化器类型与适配学习率。其中 Adam 学习率设置为 0.001，SGD 学习率设置为 0.01。SGD 优化器训练日志如图 12 所示，两种优化器量化对比结果如表 3 所示。</w:t>
      </w:r>
    </w:p>
    <w:p w14:paraId="2617B767">
      <w:p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color w:val="000000"/>
          <w:sz w:val="24"/>
          <w:szCs w:val="24"/>
        </w:rPr>
        <w:t>&lt;center&gt;图12 SGD优化器训练日志&lt;/center&gt;&lt;center&gt;表3 Adam与SGD优化器实验量化对比&lt;/center&gt;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Adam与SGD优化器的量化对比结果见表2。</w:t>
      </w:r>
    </w:p>
    <w:p>
      <w:pPr>
        <w:spacing w:line="240" w:lineRule="auto" w:before="60" w:after="120"/>
        <w:jc w:val="center"/>
      </w:pPr>
      <w:r>
        <w:rPr>
          <w:rFonts w:ascii="Times New Roman" w:hAnsi="Times New Roman" w:eastAsia="宋体"/>
          <w:color w:val="000000"/>
          <w:sz w:val="21"/>
        </w:rPr>
        <w:t>表2  Adam与SGD优化器对比</w:t>
      </w:r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896"/>
        <w:gridCol w:w="3488"/>
        <w:gridCol w:w="1978"/>
        <w:gridCol w:w="2097"/>
      </w:tblGrid>
      <w:tr w14:paraId="582B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6E9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优化器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162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学习率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0D4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达到 97% 测试准确率所需 epoch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349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最终测试集准确率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2DE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5 轮训练总耗时 (s)</w:t>
            </w:r>
          </w:p>
        </w:tc>
      </w:tr>
      <w:tr w14:paraId="04C81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8D9C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Adam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1C44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99A9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7F21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7258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28</w:t>
            </w:r>
          </w:p>
        </w:tc>
      </w:tr>
      <w:tr w14:paraId="2837A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A53C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SGD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4081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219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CCA5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97.12%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1636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27</w:t>
            </w:r>
          </w:p>
        </w:tc>
      </w:tr>
    </w:tbl>
    <w:p w14:paraId="66F24332">
      <w:pPr>
        <w:rPr>
          <w:rFonts w:ascii="宋体" w:hAnsi="宋体" w:eastAsia="宋体" w:cs="宋体"/>
          <w:sz w:val="24"/>
          <w:szCs w:val="24"/>
        </w:rPr>
      </w:pPr>
    </w:p>
    <w:p w14:paraId="1C43734A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1"/>
        </w:rPr>
        <w:t>表注：硬件环境为 CPU，最大训练轮数设置为 5，网络隐藏层神经元数量为 128，随机种子固定，数据集划分完全一致。</w:t>
      </w:r>
    </w:p>
    <w:p w14:paraId="28BC992E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由图 12 可见，SGD 初始损失为 2.3464，损失整体下降趋势平缓，下降速度慢于 Adam。结合表 3 分析：在收敛速度方面，Adam 仅需要 2 个 epoch 测试准确率即可达到 97%，而 SGD 训练至 5 轮结束才接近该精度，收敛速度明显更慢。Adam 融合一阶动量与二阶动量，具备自适应学习率特性，参数更新效率更高；SGD 仅依靠梯度信息更新参数，缺少自适应调节机制，收敛更平缓。在最终测试准确率上，5 轮训练结束后 Adam 测试准确率为 97.37%，SGD 为 97.12%，SGD 精度略低，说明在同等轮次限制下 SGD 无法充分收敛；若继续增加训练轮次，SGD 仍有机会逼近 Adam 的精度。在训练耗时上，二者单轮计算量接近，总耗时差距不大，但 SGD 需要更多迭代轮次才能达到同等精度，收敛效率更低。综上，Adam 收敛速度更快，可在较少轮次下取得理想精度；SGD 收敛缓慢，需要搭配更大的学习率以及更多训练轮次，才能够获得相近的泛化效果。</w:t>
      </w:r>
    </w:p>
    <w:p w14:paraId="7A868D41">
      <w:pPr>
        <w:pStyle w:val="3"/>
        <w:numPr>
          <w:ilvl w:val="0"/>
          <w:numId w:val="0"/>
        </w:numPr>
        <w:spacing w:before="120" w:after="120" w:line="240" w:lineRule="auto"/>
        <w:rPr>
          <w:rFonts w:ascii="Times New Roman" w:hAnsi="Times New Roman" w:eastAsia="黑体"/>
          <w:b/>
          <w:sz w:val="30"/>
        </w:rPr>
      </w:pPr>
    </w:p>
    <w:p w14:paraId="2FC2CC00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3.4  问题分析与解决方案</w:t>
      </w:r>
    </w:p>
    <w:p w14:paraId="2EB065BD">
      <w:pPr>
        <w:pStyle w:val="33"/>
        <w:numPr>
          <w:ilvl w:val="0"/>
          <w:numId w:val="0"/>
        </w:numPr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3.4.1  缺少绘图库</w:t>
      </w:r>
    </w:p>
    <w:p w14:paraId="1104329E">
      <w:pPr>
        <w:numPr>
          <w:ilvl w:val="0"/>
          <w:numId w:val="0"/>
        </w:num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当前 PyTorch Conda 环境缺少 matplotlib 库，绘图语句因而无法执行。</w:t>
      </w:r>
    </w:p>
    <w:p w14:paraId="147E6E3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相关操作或实验结果如图17所示。</w:t>
      </w:r>
    </w:p>
    <w:p w14:paraId="7BD99C13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617869"/>
            <wp:effectExtent l="0" t="0" r="10795" b="508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1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2532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图17  缺少绘图库时的报错信息</w:t>
      </w:r>
    </w:p>
    <w:p w14:paraId="60BAD553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解决方法</w:t>
      </w:r>
    </w:p>
    <w:p w14:paraId="3C1B31D7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color w:val="000000"/>
          <w:sz w:val="24"/>
          <w:szCs w:val="24"/>
        </w:rPr>
        <w:t>打开 Anaconda Prompt：</w:t>
      </w:r>
    </w:p>
    <w:p w14:paraId="53E56FA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Style w:val="21"/>
          <w:rFonts w:hint="default" w:ascii="Consolas" w:hAnsi="Consolas" w:eastAsia="Consolas" w:cs="Consolas"/>
        </w:rPr>
      </w:pPr>
      <w:r>
        <w:rPr>
          <w:rStyle w:val="21"/>
          <w:rFonts w:hint="default" w:ascii="Times New Roman" w:hAnsi="Times New Roman" w:eastAsia="宋体" w:cs="Consolas"/>
          <w:color w:val="000000"/>
          <w:sz w:val="24"/>
        </w:rPr>
        <w:t>conda activate pytorch</w:t>
      </w:r>
    </w:p>
    <w:p w14:paraId="01F666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Style w:val="21"/>
          <w:rFonts w:hint="default" w:ascii="Consolas" w:hAnsi="Consolas" w:eastAsia="Consolas" w:cs="Consolas"/>
        </w:rPr>
      </w:pPr>
      <w:r>
        <w:rPr>
          <w:rFonts w:ascii="Times New Roman" w:hAnsi="Times New Roman" w:eastAsia="宋体"/>
          <w:color w:val="000000"/>
          <w:sz w:val="24"/>
        </w:rPr>
        <w:t>pip install matplotlib -i https://pypi.tuna.tsinghua.edu.cn/simple</w:t>
      </w:r>
    </w:p>
    <w:p w14:paraId="7BD4B2C9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激活正确环境后安装 matplotlib，即可恢复绘图功能。</w:t>
      </w:r>
    </w:p>
    <w:p w14:paraId="6283C270">
      <w:pPr>
        <w:pStyle w:val="33"/>
        <w:keepNext w:val="0"/>
        <w:keepLines w:val="0"/>
        <w:widowControl/>
        <w:suppressLineNumbers w:val="0"/>
        <w:spacing w:before="60" w:after="60"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3.4.2  数据保存路径错误</w:t>
      </w:r>
    </w:p>
    <w:p w14:paraId="3E52B284">
      <w:p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代码中写死了其他用户的目录 C:\Users\think，当前账户无法在该路径创建文件，因此出现路径不存在或权限被拒绝的错误。</w:t>
      </w:r>
    </w:p>
    <w:p w14:paraId="340D41C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相关操作或实验结果如图18所示。</w:t>
      </w:r>
    </w:p>
    <w:p w14:paraId="73A95C7C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221291"/>
            <wp:effectExtent l="0" t="0" r="1397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C82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图18  数据路径不匹配导致的报错信息</w:t>
      </w:r>
    </w:p>
    <w:p w14:paraId="06193231">
      <w:pPr>
        <w:bidi w:val="0"/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解决方法</w:t>
      </w:r>
    </w:p>
    <w:p w14:paraId="77672D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Consolas" w:hAnsi="Consolas" w:eastAsia="Consolas" w:cs="Consolas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将路径改成</w:t>
      </w:r>
      <w:r>
        <w:rPr>
          <w:rStyle w:val="21"/>
          <w:rFonts w:hint="default" w:ascii="Times New Roman" w:hAnsi="Times New Roman" w:eastAsia="宋体" w:cs="Consolas"/>
          <w:color w:val="000000"/>
          <w:sz w:val="24"/>
        </w:rPr>
        <w:t>local_data_path = r"C:\Users\付镇远\PycharmProjects\PythonProject\DL_data"</w:t>
      </w:r>
    </w:p>
    <w:p w14:paraId="5E9EAC52">
      <w:pPr>
        <w:bidi w:val="0"/>
        <w:spacing w:before="0" w:after="0"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即可解决</w:t>
      </w:r>
    </w:p>
    <w:p w14:paraId="0F2ADA8B">
      <w:pPr>
        <w:pStyle w:val="2"/>
        <w:numPr>
          <w:ilvl w:val="0"/>
          <w:numId w:val="2"/>
        </w:numPr>
        <w:spacing w:before="240" w:after="240" w:line="240" w:lineRule="auto"/>
        <w:ind w:leftChars="0"/>
      </w:pPr>
      <w:r>
        <w:rPr>
          <w:rFonts w:ascii="Times New Roman" w:hAnsi="Times New Roman" w:eastAsia="宋体"/>
          <w:b/>
          <w:color w:val="000000"/>
          <w:sz w:val="24"/>
        </w:rPr>
        <w:t>4  检查点保存与继续训练</w:t>
      </w:r>
    </w:p>
    <w:p w14:paraId="7BF8AFE1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4.1  连续训练的基线结果</w:t>
      </w:r>
    </w:p>
    <w:p w14:paraId="57783EB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相关操作或实验结果如图19所示。</w:t>
      </w:r>
    </w:p>
    <w:p w14:paraId="090C35A4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190731"/>
            <wp:effectExtent l="0" t="0" r="10795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19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58F7C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图19  连续训练的基线结果</w:t>
      </w:r>
    </w:p>
    <w:p w14:paraId="08D14361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4.2  从检查点恢复训练的结果</w:t>
      </w:r>
    </w:p>
    <w:p w14:paraId="123826D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相关操作或实验结果如图20所示。</w:t>
      </w:r>
    </w:p>
    <w:p w14:paraId="6D05636F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247961"/>
            <wp:effectExtent l="0" t="0" r="508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4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06A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图20  从检查点恢复训练的运行结果</w:t>
      </w:r>
    </w:p>
    <w:p w14:paraId="6C18C7D6">
      <w:pPr>
        <w:spacing w:before="0" w:after="0" w:line="360" w:lineRule="auto"/>
        <w:ind w:firstLine="480"/>
      </w:pPr>
      <w:r>
        <w:rPr>
          <w:rFonts w:ascii="Times New Roman" w:hAnsi="Times New Roman" w:eastAsia="宋体" w:cs="宋体"/>
          <w:color w:val="000000"/>
          <w:sz w:val="24"/>
          <w:szCs w:val="24"/>
        </w:rPr>
        <w:t>本实验的 checkpoint 检查点文件内同时保存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model_state_dict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、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optimizer_state_dict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以及 epoch 信息。其中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model_state_dict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存储模型权重参数，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optimizer_state_dict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存储优化器内部状态，epoch 记录当前训练轮次，保证恢复训练时模型、优化器状态与训练进度完整承接。 由图 20 可知，第 5 轮训练结束保存断点时，损失为 178.4466；加载该断点恢复后，第 6 轮损失会在 178.4466 基础上继续下降，不会跳回首轮 544.2715 的初始损失。损失平滑连续下降，不存在从头训练时的损失跳变，证明训练是从断点位置接续执行，而不是参数初始化后重新开始训练。若仅保存模型权重、不保存优化器状态，带动量的优化器将丢失动量信息，续训的收敛特性会发生改变。</w:t>
      </w:r>
    </w:p>
    <w:p w14:paraId="23BEC59A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5  CNN 手写数字识别</w:t>
      </w:r>
    </w:p>
    <w:p w14:paraId="77CB24A2">
      <w:pPr>
        <w:pStyle w:val="3"/>
        <w:spacing w:before="120" w:after="12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5.1  CNN 运行结果</w:t>
      </w:r>
    </w:p>
    <w:p w14:paraId="1560EF3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相关操作或实验结果如图21所示。</w:t>
      </w:r>
    </w:p>
    <w:p w14:paraId="17BB4857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518703"/>
            <wp:effectExtent l="0" t="0" r="825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1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5E49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图21  CNN 手写数字识别训练结果</w:t>
      </w:r>
    </w:p>
    <w:p w14:paraId="04D471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相关操作或实验结果如图22所示。</w:t>
      </w:r>
    </w:p>
    <w:p w14:paraId="20155732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166429"/>
            <wp:effectExtent l="0" t="0" r="952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6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28D2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图22  CNN 手写数字识别准确率曲线</w:t>
      </w:r>
    </w:p>
    <w:p w14:paraId="547E2503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5.2  课堂练习分析</w:t>
      </w:r>
    </w:p>
    <w:p w14:paraId="4C44AF10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5.2.1  哪些语句实现图像张量化？</w:t>
      </w:r>
    </w:p>
    <w:p w14:paraId="22A5DFA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transforms.ToTensor()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实现将图像转化为张量，它会把图片转为张量，像素值从 0~255 缩放到 0~1，同时调整维度顺序，适配 CNN 网络输入格式。</w:t>
      </w:r>
    </w:p>
    <w:p w14:paraId="43B87A85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/>
          <w:b/>
          <w:color w:val="000000"/>
          <w:sz w:val="24"/>
        </w:rPr>
        <w:t>5.2.2  卷积核数量减半对准确率的影响</w:t>
      </w:r>
    </w:p>
    <w:p w14:paraId="4EAE6BE0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将卷积核数量由 32/64 减为 16/32 会减少参数量和计算量，通常可加快训练，但也降低特征表达容量。准确率是否下降应以相同数据划分、随机种子和训练轮数下的实测结果为准；容量不足时更容易欠拟合。</w:t>
      </w:r>
    </w:p>
    <w:p w14:paraId="5F4A90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相关操作或实验结果如图23所示。</w:t>
      </w:r>
    </w:p>
    <w:p w14:paraId="6D5B07FC">
      <w:pPr>
        <w:numPr>
          <w:ilvl w:val="0"/>
          <w:numId w:val="0"/>
        </w:numPr>
        <w:bidi w:val="0"/>
        <w:spacing w:before="60" w:after="40"/>
        <w:jc w:val="center"/>
        <w:rPr>
          <w:rFonts w:ascii="宋体" w:hAnsi="宋体" w:eastAsia="宋体" w:cs="宋体"/>
          <w:sz w:val="24"/>
          <w:szCs w:val="24"/>
        </w:rPr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419245"/>
            <wp:effectExtent l="0" t="0" r="5715" b="889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FCE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图23  卷积核数量调整后的训练结果</w:t>
      </w:r>
    </w:p>
    <w:p w14:paraId="7B0AA09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相关操作或实验结果如图24所示。</w:t>
      </w:r>
    </w:p>
    <w:p w14:paraId="3F9FD5D8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362014"/>
            <wp:effectExtent l="0" t="0" r="0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6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70C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图24  卷积核数量调整后的准确率曲线</w:t>
      </w:r>
    </w:p>
    <w:p w14:paraId="44E161E4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5.2.3  移除 Dropout 的影响</w:t>
      </w:r>
    </w:p>
    <w:p w14:paraId="5875C232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去掉 Dropout 后，训练阶段不再进行随机失活，训练集拟合通常更充分，但正则化作用减弱，过拟合风险增加。是否影响测试准确率及影响幅度需结合训练集与测试集曲线判断。</w:t>
      </w:r>
    </w:p>
    <w:p w14:paraId="10AF606C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5.2.4  增加第三个卷积层的影响</w:t>
      </w:r>
    </w:p>
    <w:p w14:paraId="6EEAD5D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相关操作或实验结果如图25所示。</w:t>
      </w:r>
    </w:p>
    <w:p w14:paraId="3CCEE3F8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361458"/>
            <wp:effectExtent l="0" t="0" r="8255" b="1016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6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0792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图25  移除 Dropout 后的训练结果</w:t>
      </w:r>
    </w:p>
    <w:p w14:paraId="71EB75B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相关操作或实验结果如图26所示。</w:t>
      </w:r>
    </w:p>
    <w:p w14:paraId="3E75EDCF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062526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6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290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图26  移除 Dropout 后的准确率曲线</w:t>
      </w:r>
    </w:p>
    <w:p w14:paraId="77795FF1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增加第 3 个卷积层可扩大模型容量并提取更高层特征，但 MNIST 图像结构较简单，新增层未必带来明显收益。结果还受到卷积核大小、池化方式、学习率和训练轮数影响，应通过对照实验判断。</w:t>
      </w:r>
    </w:p>
    <w:p w14:paraId="500D593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相关操作或实验结果如图27所示。</w:t>
      </w:r>
    </w:p>
    <w:p w14:paraId="4F9A5442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78112"/>
            <wp:effectExtent l="0" t="0" r="5080" b="254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78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4DD8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图27  增加第三个卷积层后的训练结果</w:t>
      </w:r>
    </w:p>
    <w:p w14:paraId="69A4A1E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相关操作或实验结果如图28所示。</w:t>
      </w:r>
    </w:p>
    <w:p w14:paraId="65AC3084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19771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1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14CA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图28  增加第三个卷积层后的准确率曲线</w:t>
      </w:r>
    </w:p>
    <w:p w14:paraId="46BF1C12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本次设置四组对照实验，仅调整卷积核数量、Dropout 层以及卷积层数，其余训练条件保持一致。基线组卷积核为 32/64、包含 Dropout，测试准确率 98.88%；卷积核改为 16/32 后，模型参数量减少，测试准确率 98.92%；移除 Dropout 层后，测试准确率 98.93%；增加第三个卷积层后，模型参数量提升，测试准确率达到 99.31%，为四组中最高。</w:t>
      </w:r>
    </w:p>
    <w:p w14:paraId="3ACDDA4D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对比实验结果可知：减少卷积核数量，模型参数量下降，训练速度更快，在本数据集上测试精度小幅波动；移除 Dropout 后正则约束消失，训练更容易拟合，测试准确率变化不大；增加卷积层能够提升特征提取能力，模型最终测试效果最优。总体来看，增加网络深度对识别精度提升效果明显，Dropout 起到抑制过拟合的作用，卷积通道数减少可降低计算开销。</w:t>
      </w:r>
    </w:p>
    <w:p w14:paraId="25961E2B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6  猫狗图像识别</w:t>
      </w:r>
    </w:p>
    <w:p w14:paraId="5D7EDE33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ascii="Times New Roman" w:hAnsi="Times New Roman" w:eastAsia="黑体"/>
          <w:b/>
          <w:sz w:val="30"/>
        </w:rPr>
      </w:pPr>
      <w:r>
        <w:rPr>
          <w:rFonts w:ascii="Times New Roman" w:hAnsi="Times New Roman" w:eastAsia="宋体"/>
          <w:b/>
          <w:color w:val="000000"/>
          <w:sz w:val="24"/>
        </w:rPr>
        <w:t>6.1  运行结果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相关操作或实验结果如图29所示。</w:t>
      </w:r>
    </w:p>
    <w:p w14:paraId="65B77D60">
      <w:pPr>
        <w:pStyle w:val="4"/>
        <w:spacing w:before="60" w:after="40"/>
        <w:jc w:val="center"/>
        <w:rPr>
          <w:rFonts w:hint="eastAsia"/>
          <w:lang w:val="en-US" w:eastAsia="zh-CN"/>
        </w:rPr>
        <w:keepNext w:val="1"/>
        <w:keepLines w:val="1"/>
      </w:pPr>
      <w:bookmarkStart w:id="0" w:name="_GoBack"/>
      <w:bookmarkEnd w:id="0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80000" cy="1974832"/>
            <wp:effectExtent l="0" t="0" r="127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748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40" w:after="120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图29  猫狗识别模型的 PyCharm 运行输出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相关操作或实验结果如图30所示。</w:t>
      </w:r>
    </w:p>
    <w:p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80000" cy="1553241"/>
            <wp:effectExtent l="0" t="0" r="7620" b="1905"/>
            <wp:docPr id="3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532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40" w:after="120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图30  猫狗识别训练损失与准确率曲线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相关操作或实验结果如图31所示。</w:t>
      </w:r>
    </w:p>
    <w:p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80000" cy="3278945"/>
            <wp:effectExtent l="0" t="0" r="4445" b="13335"/>
            <wp:docPr id="5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278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40" w:after="120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图31  猫狗识别测试集混淆矩阵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相关操作或实验结果如图32所示。</w:t>
      </w:r>
    </w:p>
    <w:p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80000" cy="2046768"/>
            <wp:effectExtent l="0" t="0" r="5080" b="12065"/>
            <wp:docPr id="6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467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40" w:after="120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图32  猫狗识别测试集预测样例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宋体"/>
          <w:b/>
          <w:color w:val="000000"/>
          <w:sz w:val="24"/>
        </w:rPr>
        <w:t>6.1.1  实验设置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本实验使用8005张训练图片和2023张测试图片，其中训练集包含4000张猫、4005张狗，测试集包含1011张猫、1012张狗。模型由4个卷积层和3个全连接层组成，输入图像统一缩放为96×96，批大小为64，使用Adam优化器，学习率为0.001，共训练10轮。为适应CPU环境，卷积通道数依次设置为16、32、64和128，模型总参数量为1,212,930。完整运行输出和训练曲线分别如图29和图30所示。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宋体"/>
          <w:b/>
          <w:color w:val="000000"/>
          <w:sz w:val="24"/>
        </w:rPr>
        <w:t>6.1.2  实验结果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训练10轮总用时为431.3秒。第10轮取得最佳结果：训练集准确率为88.71%，测试集准确率为88.24%，测试集交叉熵损失为0.3025。训练准确率与测试准确率仅相差0.47个百分点，未表现出明显的过拟合。图30显示训练损失总体下降，测试准确率虽有阶段性波动，但整体呈上升趋势。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宋体"/>
          <w:b/>
          <w:color w:val="000000"/>
          <w:sz w:val="24"/>
        </w:rPr>
        <w:t>6.1.3  混淆矩阵与误分类分析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测试集混淆矩阵如图31所示。在1011张猫图片中，892张识别正确、119张被误判为狗；在1012张狗图片中，893张识别正确、119张被误判为猫。猫和狗的召回率分别约为88.23%和88.24%，两类识别能力较为均衡，说明总体准确率并非由类别不平衡造成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预测样例如图32所示。正确样例通常具有清晰的主体轮廓；误分类样例中存在复杂背景、遮挡、姿态变化或目标占比较小等情况。两张误判猫图片的预测置信度约为50.4%和72.8%，说明模型对这些边界样本的判别仍不稳定。后续可采用更丰富的数据增强、提高输入分辨率或使用预训练模型改善特征表达能力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猫狗识别实验的主要量化结果见表3。</w:t>
      </w:r>
    </w:p>
    <w:p>
      <w:pPr>
        <w:spacing w:line="240" w:lineRule="auto" w:before="60" w:after="120"/>
        <w:jc w:val="center"/>
      </w:pPr>
      <w:r>
        <w:rPr>
          <w:rFonts w:ascii="Times New Roman" w:hAnsi="Times New Roman" w:eastAsia="宋体"/>
          <w:color w:val="000000"/>
          <w:sz w:val="21"/>
        </w:rPr>
        <w:t>表3  猫狗识别实验结果汇总</w:t>
      </w:r>
    </w:p>
    <w:tbl>
      <w:tblPr>
        <w:tblStyle w:val="16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实验结果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模型参数量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1,212,930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训练轮数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训练总时间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431.3 s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最佳训练集准确率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88.71%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最佳测试集准确率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88.24%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最佳测试集损失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0.3025</w:t>
            </w:r>
          </w:p>
        </w:tc>
      </w:tr>
    </w:tbl>
    <w:p w14:paraId="2FCCC0CD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6.2  问题分析与解决方案</w:t>
      </w:r>
    </w:p>
    <w:p w14:paraId="03526560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6.2.1  数据路径配置错误</w:t>
      </w:r>
    </w:p>
    <w:p w14:paraId="338D076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相关操作或实验结果如图33所示。</w:t>
      </w:r>
    </w:p>
    <w:p w14:paraId="604518E0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78448"/>
            <wp:effectExtent l="0" t="0" r="698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6A81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图33  猫狗识别中的数据路径错误</w:t>
      </w:r>
    </w:p>
    <w:p w14:paraId="1761B55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解决方法</w:t>
      </w:r>
    </w:p>
    <w:p w14:paraId="770FA24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将数据路径改为本机实际保存位置，并确认该目录存在且当前账户具有读取权限。</w:t>
      </w:r>
    </w:p>
    <w:p w14:paraId="085E2C4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相关操作或实验结果如图34所示。</w:t>
      </w:r>
    </w:p>
    <w:p w14:paraId="443251A7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51777"/>
            <wp:effectExtent l="0" t="0" r="762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51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AD7B8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图34  路径修正后的原始程序运行结果</w:t>
      </w:r>
    </w:p>
    <w:p w14:paraId="420591EB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7  VGG16 迁移学习</w:t>
      </w:r>
    </w:p>
    <w:p w14:paraId="2D23B116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7.1  VGG16 运行结果</w:t>
      </w:r>
    </w:p>
    <w:p w14:paraId="094538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相关操作或实验结果如图35所示。</w:t>
      </w:r>
    </w:p>
    <w:p w14:paraId="7EC60258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944000"/>
            <wp:effectExtent l="0" t="0" r="6350" b="825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7A5E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图35  VGG16迁移学习实验配置与参数</w:t>
      </w:r>
    </w:p>
    <w:p w14:paraId="71DA198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相关操作或实验结果如图36所示。</w:t>
      </w:r>
    </w:p>
    <w:p w14:paraId="4DC2E09C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456514"/>
            <wp:effectExtent l="0" t="0" r="7620" b="762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5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2D12A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图36  VGG16训练损失与准确率曲线</w:t>
      </w:r>
    </w:p>
    <w:p w14:paraId="70E0CB7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相关操作或实验结果如图37所示。</w:t>
      </w:r>
    </w:p>
    <w:p w14:paraId="73E8B7BC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44375"/>
            <wp:effectExtent l="0" t="0" r="7620" b="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4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1D09C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图37  VGG16猫狗识别运行结果</w:t>
      </w:r>
    </w:p>
    <w:p w14:paraId="419A8115">
      <w:pPr>
        <w:keepNext w:val="0"/>
        <w:keepLines w:val="0"/>
        <w:widowControl/>
        <w:suppressLineNumbers w:val="0"/>
      </w:pPr>
      <w:r>
        <w:rPr>
          <w:rFonts w:ascii="Times New Roman" w:hAnsi="Times New Roman" w:eastAsia="宋体"/>
          <w:color w:val="000000"/>
          <w:sz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B1D05">
      <w:pPr>
        <w:pStyle w:val="3"/>
        <w:spacing w:before="120" w:after="120" w:line="240" w:lineRule="auto"/>
        <w:rPr>
          <w:rFonts w:hint="eastAsia"/>
        </w:rPr>
      </w:pPr>
      <w:r>
        <w:rPr>
          <w:rFonts w:ascii="Times New Roman" w:hAnsi="Times New Roman" w:eastAsia="宋体"/>
          <w:b/>
          <w:color w:val="000000"/>
          <w:sz w:val="24"/>
        </w:rPr>
        <w:t>7.2  VGG16 微调与从零训练 CNN 的比较</w:t>
      </w:r>
    </w:p>
    <w:p w14:paraId="62907E14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本次实验使用ImageNet预训练VGG16，冻结卷积特征层，将分类头替换为Linear(512, 2)，输入尺寸为96×96。模型总参数量为14,715,714，其中可训练参数量为1,026。使用与第6章普通CNN完全相同的8005张训练图片和2023张测试图片，训练3轮总用时762.84秒。第3轮取得最佳结果：训练集准确率95.20%，测试集准确率95.30%，测试损失0.1180。实验配置、训练曲线和运行结果分别如图35、图36和图37所示。</w:t>
      </w:r>
    </w:p>
    <w:p w14:paraId="078CCC78">
      <w:pPr>
        <w:spacing w:before="80" w:after="12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与第6章普通CNN相比，VGG16测试准确率由88.24%提高到95.30%，提高7.06个百分点；测试损失由0.3025降至0.1180。VGG16虽然只训练3轮，但CPU总训练时间为762.84秒，比普通CNN的431.3秒增加331.54秒。其总参数量约为普通CNN的12.1倍，不过冻结特征层后仅有1,026个分类头参数参与更新。这说明预训练特征显著提高了识别精度，但VGG16前向特征提取仍带来较大的计算开销。</w:t>
      </w:r>
    </w:p>
    <w:p>
      <w:r>
        <w:t>普通CNN与VGG16的量化对比结果见表4。</w:t>
      </w:r>
    </w:p>
    <w:p>
      <w:pPr>
        <w:jc w:val="center"/>
      </w:pPr>
      <w:r>
        <w:t>表4  普通CNN与VGG16迁移学习结果对比</w:t>
      </w:r>
    </w:p>
    <w:tbl>
      <w:tblPr>
        <w:tblStyle w:val="16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总参数量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可训练参数量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训练轮数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训练时间（s）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测试损失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测试准确率</w:t>
            </w:r>
          </w:p>
        </w:tc>
      </w:tr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普通CNN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1,212,930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1,212,930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431.30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0.3025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88.24%</w:t>
            </w:r>
          </w:p>
        </w:tc>
      </w:tr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VGG16迁移学习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14,715,714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1,026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762.84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0.1180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95.30%</w:t>
            </w:r>
          </w:p>
        </w:tc>
      </w:tr>
    </w:tbl>
    <w:p w14:paraId="3E47E819">
      <w:pPr>
        <w:pStyle w:val="2"/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  VGG16 特征可视化</w:t>
      </w:r>
    </w:p>
    <w:p w14:paraId="682FB658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8.1  浅层卷积特征图</w:t>
      </w:r>
    </w:p>
    <w:p w14:paraId="4E8966B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特点：尺寸和原图接近，只凸显边缘、线条、轮廓、纹理；和原图结构相似，只能看到基础的线条信息，看不出猫、狗这种物体。</w:t>
      </w:r>
    </w:p>
    <w:p w14:paraId="4AE9EFB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38BDFE30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ab/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对比图</w:t>
      </w:r>
    </w:p>
    <w:p w14:paraId="35EC379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相关操作或实验结果如图38所示。</w:t>
      </w:r>
    </w:p>
    <w:p w14:paraId="60CD9137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5715" b="381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0597C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图38  VGG16 输入原图</w:t>
      </w:r>
    </w:p>
    <w:p w14:paraId="6D3F3E2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相关操作或实验结果如图39所示。</w:t>
      </w:r>
    </w:p>
    <w:p w14:paraId="634B1584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1397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FD68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图39  VGG16 浅层卷积特征图</w:t>
      </w:r>
    </w:p>
    <w:p w14:paraId="10F7FBF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相关操作或实验结果如图40所示。</w:t>
      </w:r>
    </w:p>
    <w:p w14:paraId="536051E1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635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E360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图40  浅层卷积特征与原图对比</w:t>
      </w:r>
    </w:p>
    <w:p w14:paraId="5E95D102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8.2  深层特征图</w:t>
      </w:r>
    </w:p>
    <w:p w14:paraId="3E73DC8B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经过多次卷积 + 池化，分辨率变得很小（7×7）；图上是离散的激活色块，已经完全看不出图像轮廓，提取的是抽象语义特征。</w:t>
      </w:r>
    </w:p>
    <w:p w14:paraId="2D321DC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相关操作或实验结果如图41所示。</w:t>
      </w:r>
    </w:p>
    <w:p w14:paraId="38A985F5">
      <w:pPr>
        <w:tabs>
          <w:tab w:val="left" w:pos="3167"/>
        </w:tabs>
        <w:bidi w:val="0"/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5715" b="1206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8C8C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图41  VGG16 深层特征图（一）</w:t>
      </w:r>
    </w:p>
    <w:p w14:paraId="10ABEC1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相关操作或实验结果如图42所示。</w:t>
      </w:r>
    </w:p>
    <w:p w14:paraId="2401E1AA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13335" b="952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3C77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图42  VGG16 深层特征图（二）</w:t>
      </w:r>
    </w:p>
    <w:p w14:paraId="03203CA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相关操作或实验结果如图43所示。</w:t>
      </w:r>
    </w:p>
    <w:p w14:paraId="5F85473D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10160" b="762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CAA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图43  VGG16 深层特征图（三）</w:t>
      </w:r>
    </w:p>
    <w:p w14:paraId="5BA74EE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相关操作或实验结果如图44所示。</w:t>
      </w:r>
    </w:p>
    <w:p w14:paraId="273841DE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5715" b="381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9F4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图44  VGG16 深层特征图（四）</w:t>
      </w:r>
    </w:p>
    <w:p w14:paraId="228C04A5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8.3  Grad-CAM 热力图</w:t>
      </w:r>
    </w:p>
    <w:p w14:paraId="58E7DC16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上采样放大后的热力图，代表网络激活区域。</w:t>
      </w:r>
    </w:p>
    <w:p w14:paraId="10A64FA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相关操作或实验结果如图45所示。</w:t>
      </w:r>
    </w:p>
    <w:p w14:paraId="36219094">
      <w:pPr>
        <w:tabs>
          <w:tab w:val="left" w:pos="3167"/>
        </w:tabs>
        <w:bidi w:val="0"/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13970" b="139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AF4C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图45  Grad-CAM 热力图</w:t>
      </w:r>
    </w:p>
    <w:p w14:paraId="71326860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8.4  热力图与原图叠加</w:t>
      </w:r>
    </w:p>
    <w:p w14:paraId="3B2B5B53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热力图叠加在原始图片上，直观展示模型重点关注区域</w:t>
      </w:r>
    </w:p>
    <w:p w14:paraId="1C433AD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相关操作或实验结果如图46所示。</w:t>
      </w:r>
    </w:p>
    <w:p w14:paraId="7F630716">
      <w:pPr>
        <w:tabs>
          <w:tab w:val="left" w:pos="3167"/>
        </w:tabs>
        <w:bidi w:val="0"/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6350" b="889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8FD01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图46  Grad-CAM 热力图与原图叠加结果</w:t>
      </w:r>
    </w:p>
    <w:p w14:paraId="3DBC4DAD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8.5  类别激活结果分析</w:t>
      </w:r>
    </w:p>
    <w:p w14:paraId="75B62BD0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1. 生成的 CAM 热力叠加图中，高亮暖色区域集中在图片中目标物体（猫 / 狗）本体位置，而背景（地板、墙面）大多是蓝色冷色。</w:t>
      </w:r>
    </w:p>
    <w:p w14:paraId="7593B1D5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2. 说明 VGG16 做图像分类时，不是随机看整张图片，主要依靠目标物体本体的特征来输出分类结果，背景干扰信息对分类的贡献较低。</w:t>
      </w:r>
    </w:p>
    <w:p w14:paraId="665E729A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3. 对比前面单独看某一个通道的特征图：单独通道只能看到某一类局部特征；CAM 是所有通道按分类重要性加权后的综合结果，直接体现对分类起决定性作用的图像位置。</w:t>
      </w:r>
    </w:p>
    <w:p w14:paraId="5DB734AE">
      <w:pPr>
        <w:tabs>
          <w:tab w:val="left" w:pos="3167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A6F9ED">
      <w:pPr>
        <w:tabs>
          <w:tab w:val="left" w:pos="3167"/>
        </w:tabs>
        <w:bidi w:val="0"/>
        <w:jc w:val="left"/>
        <w:rPr>
          <w:rFonts w:hint="eastAsia"/>
          <w:lang w:val="en-US" w:eastAsia="zh-CN"/>
        </w:rPr>
      </w:pPr>
    </w:p>
    <w:p w14:paraId="098149C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相关操作或实验结果如图47所示。</w:t>
      </w:r>
    </w:p>
    <w:p w14:paraId="5123D05F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0" distR="0">
            <wp:extent cx="3780000" cy="2834861"/>
            <wp:effectExtent l="0" t="0" r="5080" b="3175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1A1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图47  VGG16 类别激活可视化结果</w:t>
      </w:r>
    </w:p>
    <w:p w14:paraId="456C8778">
      <w:pPr>
        <w:pStyle w:val="2"/>
        <w:bidi w:val="0"/>
        <w:spacing w:before="240" w:after="24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  电力负荷预测中的特征工程</w:t>
      </w:r>
    </w:p>
    <w:p w14:paraId="0A400A68">
      <w:pPr>
        <w:rPr>
          <w:rFonts w:hint="eastAsia"/>
          <w:lang w:val="en-US" w:eastAsia="zh-CN"/>
        </w:rPr>
      </w:pPr>
    </w:p>
    <w:p w14:paraId="6B3F2A49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9.1  基线特征模型</w:t>
      </w:r>
    </w:p>
    <w:p w14:paraId="3E4E8C5F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运行代码结果</w:t>
      </w:r>
    </w:p>
    <w:p w14:paraId="26E4C5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相关操作或实验结果如图48所示。</w:t>
      </w:r>
    </w:p>
    <w:p w14:paraId="66D84BB1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863607"/>
            <wp:effectExtent l="0" t="0" r="762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6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0942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图48  基线特征模型的预测结果</w:t>
      </w:r>
    </w:p>
    <w:p w14:paraId="40E15CE2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9.2  人工构造滞后与统计特征</w:t>
      </w:r>
    </w:p>
    <w:p w14:paraId="4BE7EBA2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代码运行结果</w:t>
      </w:r>
    </w:p>
    <w:p w14:paraId="547CDF15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基线模型仅使用月份、星期、季节和是否周末等日历类别特征，并由 Embedding 与 MLP 学习非线性关系；它未显式利用历史负荷信息。</w:t>
      </w:r>
    </w:p>
    <w:p w14:paraId="5314C67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相关操作或实验结果如图49所示。</w:t>
      </w:r>
    </w:p>
    <w:p w14:paraId="64DC3D04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448694"/>
            <wp:effectExtent l="0" t="0" r="6350" b="8890"/>
            <wp:docPr id="6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48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4AA1C">
      <w:pPr>
        <w:pStyle w:val="34"/>
        <w:spacing w:before="40" w:after="120" w:line="240" w:lineRule="auto"/>
        <w:jc w:val="center"/>
        <w:rPr>
          <w:rFonts w:ascii="Times New Roman" w:hAnsi="Times New Roman" w:eastAsia="宋体"/>
          <w:sz w:val="21"/>
        </w:rPr>
        <w:keepLines w:val="1"/>
      </w:pPr>
      <w:r>
        <w:rPr>
          <w:rFonts w:ascii="Times New Roman" w:hAnsi="Times New Roman" w:eastAsia="宋体"/>
          <w:color w:val="000000"/>
          <w:sz w:val="21"/>
        </w:rPr>
        <w:t>图49  加入滞后与统计特征后的预测结果</w:t>
      </w:r>
    </w:p>
    <w:p w14:paraId="4DBE5A3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相关操作或实验结果如图50所示。</w:t>
      </w:r>
    </w:p>
    <w:p w14:paraId="070F91B2">
      <w:pPr>
        <w:pStyle w:val="34"/>
        <w:spacing w:before="60" w:after="40" w:line="240" w:lineRule="auto"/>
        <w:jc w:val="center"/>
        <w:rPr>
          <w:rFonts w:ascii="Times New Roman" w:hAnsi="Times New Roman" w:eastAsia="宋体"/>
          <w:sz w:val="21"/>
        </w:rPr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740256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74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6769D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图50  加入滞后与统计特征后的测试指标</w:t>
      </w:r>
    </w:p>
    <w:p w14:paraId="7F72B7A0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基线模型未引入历史负荷特征，仅采用月份、星期、季节、是否周末日历特征，由图48 可得测试集指标：RMSE=1.0341，MAE=0.9522。在保持实验条件一致的前提下，引入滞后负荷、滑动均值、负荷差值等时序特征后，由图49 可得测试集指标：RMSE=1.0194，MAE=0.9363。 本实验采用时序顺序划分数据集，按照时间先后顺序将全部数据前 80% 划分为训练集，后 20% 作为测试集，全程不采用随机打乱划分方式，规避时序数据泄露问题。对比结果可见，增加历史时序特征后模型 RMSE 与 MAE 均有所下降，预测精度得到小幅提升。</w:t>
      </w:r>
    </w:p>
    <w:p>
      <w:r>
        <w:rPr>
          <w:rFonts w:ascii="Times New Roman" w:hAnsi="Times New Roman" w:eastAsia="宋体"/>
          <w:color w:val="000000"/>
          <w:sz w:val="24"/>
        </w:rPr>
        <w:t>代码复核发现，原始写法 Delta_1 = Load - Lag_1 在构造当天输入时使用了当天真实负荷，会造成目标泄漏。统一复现实验将其修正为 Delta_1 = Lag_1 - Lag_2，即“昨日负荷减前日负荷”，使所有输入在预测时均可获得。连续特征和目标值的标准化参数仅由训练集拟合，再应用于测试集。</w:t>
      </w:r>
    </w:p>
    <w:p w14:paraId="33AF79BE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改进模型在日历特征之外加入昨日负荷、上周同期负荷、过去三天平均负荷和近期变化量。严格来说，这些属于人工构造的滞后与统计特征，而非类别特征之间的显式交叉；它们分别刻画短期连续性、周周期、近期水平和变化趋势。</w:t>
      </w:r>
    </w:p>
    <w:p w14:paraId="6287CEAC">
      <w:pPr>
        <w:rPr>
          <w:rFonts w:hint="eastAsia"/>
        </w:rPr>
      </w:pPr>
    </w:p>
    <w:p w14:paraId="2F14A903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  问题分析与解决方案</w:t>
      </w:r>
    </w:p>
    <w:p w14:paraId="68D4BAD9">
      <w:pPr>
        <w:pStyle w:val="33"/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9.3.1  缺少 pandas</w:t>
      </w:r>
    </w:p>
    <w:p w14:paraId="3ABE64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相关操作或实验结果如图51所示。</w:t>
      </w:r>
    </w:p>
    <w:p w14:paraId="28897BD2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35663"/>
            <wp:effectExtent l="0" t="0" r="12065" b="381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3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A3E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图51  缺少 pandas 时的报错信息</w:t>
      </w:r>
    </w:p>
    <w:p w14:paraId="0A602E5A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当前 PyTorch 虚拟环境缺少 pandas 库，程序无法导入相应模块。</w:t>
      </w:r>
    </w:p>
    <w:p w14:paraId="42B7C07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解决办法</w:t>
      </w:r>
    </w:p>
    <w:p w14:paraId="22BE48D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在 Anaconda Prompt 中激活 pytorch 环境后执行 conda install pandas，安装完成后重新运行程序。</w:t>
      </w:r>
    </w:p>
    <w:p w14:paraId="5125EC3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相关操作或实验结果如图52所示。</w:t>
      </w:r>
    </w:p>
    <w:p w14:paraId="1AB44958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346865"/>
            <wp:effectExtent l="0" t="0" r="8890" b="3175"/>
            <wp:docPr id="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34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F904E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图52  pandas 安装结果</w:t>
      </w:r>
    </w:p>
    <w:p w14:paraId="2E6A2514">
      <w:pPr>
        <w:pStyle w:val="33"/>
        <w:spacing w:before="60" w:after="60" w:line="36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9.3.2  缺少 scikit-learn</w:t>
      </w:r>
    </w:p>
    <w:p w14:paraId="43CF512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相关操作或实验结果如图53所示。</w:t>
      </w:r>
    </w:p>
    <w:p w14:paraId="27E0EB4F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43998"/>
            <wp:effectExtent l="0" t="0" r="8255" b="5080"/>
            <wp:docPr id="5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4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106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图53  缺少 scikit-learn 时的报错信息</w:t>
      </w:r>
    </w:p>
    <w:p w14:paraId="07F6D571">
      <w:p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导入名为 sklearn，但安装包名为 scikit-learn；当前 PyTorch Conda 环境缺少该依赖。</w:t>
      </w:r>
    </w:p>
    <w:p w14:paraId="2A9195FA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解决办法</w:t>
      </w:r>
    </w:p>
    <w:p w14:paraId="4C2EC1BA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hint="eastAsia" w:ascii="Consolas" w:hAnsi="Consolas" w:eastAsia="宋体" w:cs="Consolas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在 Anaconda Prompt 中激活 pytorch 环境后执行 conda install scikit-learn。</w:t>
      </w:r>
    </w:p>
    <w:p w14:paraId="738D35C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相关操作或实验结果如图54所示。</w:t>
      </w:r>
    </w:p>
    <w:p w14:paraId="3CD102B3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19303"/>
            <wp:effectExtent l="0" t="0" r="7620" b="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1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1FA95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图54  scikit-learn 安装结果</w:t>
      </w:r>
    </w:p>
    <w:p w14:paraId="17E113E6">
      <w:pPr>
        <w:pStyle w:val="33"/>
        <w:spacing w:before="60" w:after="60" w:line="36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9.3.3  缺少 openpyxl</w:t>
      </w:r>
    </w:p>
    <w:p w14:paraId="40733F4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相关操作或实验结果如图55所示。</w:t>
      </w:r>
    </w:p>
    <w:p w14:paraId="218A8A67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023484"/>
            <wp:effectExtent l="0" t="0" r="13335" b="9525"/>
            <wp:docPr id="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02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C07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图55  缺少 openpyxl 时的报错信息</w:t>
      </w:r>
    </w:p>
    <w:p w14:paraId="35B45A7E">
      <w:p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pandas 读写 .xlsx 文件需要 openpyxl；当前 PyTorch 环境缺少该依赖。</w:t>
      </w:r>
    </w:p>
    <w:p w14:paraId="131F9C26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解决办法</w:t>
      </w:r>
    </w:p>
    <w:p w14:paraId="3BC367A1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在 Anaconda Prompt 中激活 pytorch 环境后执行 conda install openpyxl。</w:t>
      </w:r>
    </w:p>
    <w:p w14:paraId="4C0A861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相关操作或实验结果如图56所示。</w:t>
      </w:r>
    </w:p>
    <w:p w14:paraId="1EDE2672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110163"/>
            <wp:effectExtent l="0" t="0" r="0" b="0"/>
            <wp:docPr id="5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11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717E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图56  openpyxl 安装结果</w:t>
      </w:r>
    </w:p>
    <w:p w14:paraId="4C3B8FBE">
      <w:pPr>
        <w:pStyle w:val="2"/>
        <w:numPr>
          <w:ilvl w:val="0"/>
          <w:numId w:val="0"/>
        </w:numPr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10  TabNet 电力负荷预测</w:t>
      </w:r>
    </w:p>
    <w:p w14:paraId="5E04B075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10.1  运行结果</w:t>
      </w:r>
    </w:p>
    <w:p w14:paraId="13A1BFB3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 xml:space="preserve"> 特征重要性柱状图</w:t>
      </w:r>
    </w:p>
    <w:p w14:paraId="195A5737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作用：可解释分析，看哪个特征最重要，看到 Lag_1 前一日负荷贡献最大。</w:t>
      </w:r>
    </w:p>
    <w:p w14:paraId="7C1A9348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 xml:space="preserve"> 真实‑预测折线对比图</w:t>
      </w:r>
    </w:p>
    <w:p w14:paraId="4D392E5E">
      <w:pPr>
        <w:numPr>
          <w:ilvl w:val="0"/>
          <w:numId w:val="0"/>
        </w:numPr>
        <w:spacing w:before="0" w:after="0" w:line="360" w:lineRule="auto"/>
        <w:ind w:firstLine="480"/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作用：直观展示电力负荷预测效果，看曲线能跟上真实负荷的起伏，代表预测任务完成。</w:t>
      </w:r>
    </w:p>
    <w:p w14:paraId="09A1044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相关操作或实验结果如图57所示。</w:t>
      </w:r>
    </w:p>
    <w:p w14:paraId="5A46B80C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889722"/>
            <wp:effectExtent l="0" t="0" r="9525" b="4445"/>
            <wp:docPr id="6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8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0F6B1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图57  TabNet 特征重要性结果</w:t>
      </w:r>
    </w:p>
    <w:p w14:paraId="4419D39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相关操作或实验结果如图58所示。</w:t>
      </w:r>
    </w:p>
    <w:p w14:paraId="4F1F9117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574676"/>
            <wp:effectExtent l="0" t="0" r="11430" b="12065"/>
            <wp:docPr id="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7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61AD">
      <w:pPr>
        <w:pStyle w:val="34"/>
        <w:spacing w:before="40" w:after="120" w:line="240" w:lineRule="auto"/>
        <w:jc w:val="center"/>
        <w:rPr>
          <w:rFonts w:ascii="Times New Roman" w:hAnsi="Times New Roman" w:eastAsia="宋体"/>
          <w:sz w:val="21"/>
        </w:rPr>
        <w:keepLines w:val="1"/>
      </w:pPr>
      <w:r>
        <w:rPr>
          <w:rFonts w:ascii="Times New Roman" w:hAnsi="Times New Roman" w:eastAsia="宋体"/>
          <w:color w:val="000000"/>
          <w:sz w:val="21"/>
        </w:rPr>
        <w:t>图58  TabNet 真实值与预测值对比</w:t>
      </w:r>
    </w:p>
    <w:p w14:paraId="7673D23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相关操作或实验结果如图59所示。</w:t>
      </w:r>
    </w:p>
    <w:p w14:paraId="3E79B4FA">
      <w:pPr>
        <w:pStyle w:val="34"/>
        <w:spacing w:before="60" w:after="40" w:line="240" w:lineRule="auto"/>
        <w:jc w:val="center"/>
        <w:rPr>
          <w:rFonts w:ascii="Times New Roman" w:hAnsi="Times New Roman" w:eastAsia="宋体"/>
          <w:sz w:val="21"/>
        </w:rPr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67556"/>
            <wp:effectExtent l="0" t="0" r="0" b="0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6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78169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图59  TabNet 参数量及特征重要性数值</w:t>
      </w:r>
    </w:p>
    <w:p w14:paraId="7D9E0DF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相关操作或实验结果如图60所示。</w:t>
      </w:r>
    </w:p>
    <w:p w14:paraId="5BDC3E2A">
      <w:pPr>
        <w:pStyle w:val="34"/>
        <w:spacing w:before="60" w:after="40" w:line="240" w:lineRule="auto"/>
        <w:jc w:val="center"/>
        <w:rPr>
          <w:rFonts w:ascii="Times New Roman" w:hAnsi="Times New Roman" w:eastAsia="宋体"/>
          <w:sz w:val="21"/>
        </w:rPr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102531"/>
            <wp:effectExtent l="0" t="0" r="8255" b="5080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0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B51A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图60  TabNet 测试指标与特征重要性输出</w:t>
      </w:r>
    </w:p>
    <w:p w14:paraId="758B258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实验按时间顺序将前80%样本作为训练集、后20%作为测试集，并仅用训练集拟合标准化器。修正目标泄漏后，TabNet在第33轮取得最佳结果，训练时间为31.79秒；标准化尺度下MAE=0.3267、RMSE=0.4785、R²=0.8186。特征重要性图仍表明Lag_1是关键输入，说明前一日负荷对当天负荷具有较强解释力。预测曲线能够跟随主要周期变化，但在突发尖峰和低谷处仍存在较大偏差。</w:t>
      </w:r>
    </w:p>
    <w:p w14:paraId="663ECB48">
      <w:pPr>
        <w:pStyle w:val="2"/>
        <w:numPr>
          <w:ilvl w:val="0"/>
          <w:numId w:val="0"/>
        </w:numPr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11  FT-Transformer 电力负荷预测</w:t>
      </w:r>
    </w:p>
    <w:p w14:paraId="66149F40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11.1  FT-Transformer 电力负荷预测结果</w:t>
      </w:r>
    </w:p>
    <w:p w14:paraId="56DEC1A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相关操作或实验结果如图61所示。</w:t>
      </w:r>
    </w:p>
    <w:p w14:paraId="2868FD7C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277966"/>
            <wp:effectExtent l="0" t="0" r="6350" b="3810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7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61E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图61  FT-Transformer 训练过程</w:t>
      </w:r>
    </w:p>
    <w:p w14:paraId="2ABC36E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相关操作或实验结果如图62所示。</w:t>
      </w:r>
    </w:p>
    <w:p w14:paraId="51FE84D1">
      <w:pPr>
        <w:spacing w:before="60" w:after="40"/>
        <w:jc w:val="center"/>
        <w:keepNext w:val="1"/>
        <w:keepLines w:val="1"/>
      </w:pPr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574676"/>
            <wp:effectExtent l="0" t="0" r="8255" b="13970"/>
            <wp:docPr id="3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7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8B8B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图62  FT-Transformer 真实值与预测值对比</w:t>
      </w:r>
    </w:p>
    <w:p>
      <w:pPr>
        <w:pStyle w:val="3"/>
      </w:pPr>
      <w:r>
        <w:rPr>
          <w:rFonts w:ascii="Times New Roman" w:hAnsi="Times New Roman" w:eastAsia="宋体"/>
          <w:b/>
          <w:color w:val="000000"/>
          <w:sz w:val="24"/>
        </w:rPr>
        <w:t>11.2  统一条件下的模型比较</w:t>
      </w:r>
    </w:p>
    <w:p>
      <w:r>
        <w:rPr>
          <w:rFonts w:ascii="Times New Roman" w:hAnsi="Times New Roman" w:eastAsia="宋体"/>
          <w:color w:val="000000"/>
          <w:sz w:val="24"/>
        </w:rPr>
        <w:t>三种模型统一使用Area1_Load工作表的T1200负荷，采用相同的滞后与统计特征、前80%训练/后20%测试的时序划分、随机种子42以及训练集拟合的标准化器。训练时间仅统计模型训练过程；运行环境为5核CPU，因此时间会随硬件变化。</w:t>
      </w:r>
    </w:p>
    <w:p>
      <w:pPr>
        <w:spacing w:line="360" w:lineRule="auto" w:before="0" w:after="0"/>
        <w:ind w:firstLine="480"/>
      </w:pPr>
      <w:r>
        <w:t>三种电力负荷预测模型的量化结果见表5。</w:t>
      </w:r>
    </w:p>
    <w:p>
      <w:pPr>
        <w:spacing w:line="240" w:lineRule="auto" w:before="60" w:after="120"/>
        <w:jc w:val="center"/>
      </w:pPr>
      <w:r>
        <w:t>表5  MLP、TabNet与FT-Transformer结果对比</w:t>
      </w:r>
    </w:p>
    <w:tbl>
      <w:tblPr>
        <w:tblStyle w:val="15"/>
        <w:tblW w:w="416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2"/>
        <w:gridCol w:w="1302"/>
        <w:gridCol w:w="1616"/>
        <w:gridCol w:w="1220"/>
        <w:gridCol w:w="1263"/>
        <w:gridCol w:w="1300"/>
        <w:gridCol w:w="1300"/>
      </w:tblGrid>
      <w:tr w14:paraId="5E46A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最佳轮次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训练时间（s）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MAE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RMSE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R²</w:t>
            </w:r>
          </w:p>
        </w:tc>
      </w:tr>
      <w:tr w14:paraId="782EF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MLP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13231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7.52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0.2389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0.4071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0.8687</w:t>
            </w:r>
          </w:p>
        </w:tc>
      </w:tr>
      <w:tr w14:paraId="36BDD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TabNet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27140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31.79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0.3267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0.4785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0.8186</w:t>
            </w:r>
          </w:p>
        </w:tc>
      </w:tr>
      <w:tr w14:paraId="1AD5C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FT-Transformer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599425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96.94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0.2331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0.4061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0.8694</w:t>
            </w:r>
          </w:p>
        </w:tc>
      </w:tr>
    </w:tbl>
    <w:p w14:paraId="2AAF3445">
      <w:pPr>
        <w:spacing w:before="0" w:after="0" w:line="360" w:lineRule="auto"/>
        <w:ind w:firstLine="480"/>
      </w:pPr>
      <w:r>
        <w:t>由表5可知，在统一且无目标泄漏的评价条件下，FT-Transformer的R²最高（0.8694），但训练时间最长（96.94秒），参数量也显著高于另外两种模型；MLP的R²为0.8687，与FT-Transformer非常接近，而训练仅需7.52秒，体现出更好的计算效率；TabNet的R²为0.8186，训练时间为31.79秒，本次设置下精度低于MLP和FT-Transformer，但其特征重要性提供了更直接的可解释结果。综合精度和效率，MLP是本实验中更均衡的方案。</w:t>
      </w:r>
    </w:p>
    <w:p w14:paraId="4CDF65CB">
      <w:pPr>
        <w:numPr>
          <w:ilvl w:val="0"/>
          <w:numId w:val="0"/>
        </w:num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修正连续特征映射层后，FT-Transformer的参数量为599,425，在第120轮获得最佳结果：标准化尺度下MAE=0.2331、RMSE=0.4061、R²=0.8694。其预测曲线能够跟随整体趋势和周期变化，但对突发尖峰与骤降的拟合仍较弱。与MLP相比，FT-Transformer的R²仅提高约0.0007，却增加了参数量和训练时间，说明当前样本规模下复杂注意力结构未带来明显收益。</w:t>
      </w:r>
    </w:p>
    <w:p w14:paraId="4CDF337E">
      <w:pPr>
        <w:pStyle w:val="2"/>
        <w:spacing w:before="240" w:after="24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12  AI 辅助使用声明</w:t>
      </w:r>
    </w:p>
    <w:p w14:paraId="02472C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本报告使用生成式人工智能辅助进行格式统一、语言润色和技术表述核查；实验截图与原始运行结果来自作者提交的报告材料，结论依据课堂练习要求进行了复核。</w:t>
      </w:r>
    </w:p>
    <w:p w14:paraId="581DD45D">
      <w:pPr>
        <w:pStyle w:val="2"/>
        <w:spacing w:before="240" w:after="24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13  提交前补充清单（填写完成后删除本节）</w:t>
      </w:r>
    </w:p>
    <w:p w14:paraId="5D848ED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□ 封面学院、专业、学号、姓名均已填写。</w:t>
      </w:r>
    </w:p>
    <w:p w14:paraId="63DADC0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☑ 所有对照实验均已写出实际准确率、损失或误差指标。</w:t>
      </w:r>
    </w:p>
    <w:p w14:paraId="1CA9CEF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☑ 猫狗CNN与VGG16使用同一数据集划分，并已给出参数量、训练时间、损失和准确率。</w:t>
      </w:r>
    </w:p>
    <w:p w14:paraId="2F38610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☑ MLP、TabNet、FT-Transformer已给出参数量、训练时间、MAE、RMSE和R²。</w:t>
      </w:r>
    </w:p>
    <w:p w14:paraId="012868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☑ 时间序列数据按时间先后划分，标准化参数仅由训练集拟合，并已修正Delta_1目标泄漏。</w:t>
      </w:r>
    </w:p>
    <w:p w14:paraId="78686D60">
      <w:pPr>
        <w:spacing w:before="80" w:after="120" w:line="300" w:lineRule="auto"/>
      </w:pPr>
      <w:r>
        <w:rPr>
          <w:rFonts w:ascii="Times New Roman" w:hAnsi="Times New Roman" w:eastAsia="宋体"/>
          <w:color w:val="000000"/>
          <w:sz w:val="24"/>
        </w:rPr>
        <w:t>☑ 除封面个人信息外，所有待补充内容均已完成。</w:t>
      </w:r>
    </w:p>
    <w:sectPr>
      <w:footerReference r:id="rId3" w:type="default"/>
      <w:pgSz w:w="11906" w:h="16838"/>
      <w:pgMar w:top="993" w:right="1133" w:bottom="851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3057154"/>
      <w:docPartObj>
        <w:docPartGallery w:val="autotext"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1D2C555">
        <w:pPr>
          <w:pStyle w:val="8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1DE941A5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4487E"/>
    <w:multiLevelType w:val="singleLevel"/>
    <w:tmpl w:val="90D4487E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2B1B0B5C"/>
    <w:multiLevelType w:val="singleLevel"/>
    <w:tmpl w:val="2B1B0B5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lYjcxNjc5ODdjMGNiMGEzNmMwZmQwY2JhZTgzZjUifQ=="/>
  </w:docVars>
  <w:rsids>
    <w:rsidRoot w:val="00647362"/>
    <w:rsid w:val="0000539A"/>
    <w:rsid w:val="00017820"/>
    <w:rsid w:val="00034CBF"/>
    <w:rsid w:val="00041B7D"/>
    <w:rsid w:val="0005082E"/>
    <w:rsid w:val="00055BF5"/>
    <w:rsid w:val="000674E3"/>
    <w:rsid w:val="000A004B"/>
    <w:rsid w:val="000A2960"/>
    <w:rsid w:val="000B6FB2"/>
    <w:rsid w:val="00113B06"/>
    <w:rsid w:val="001448D6"/>
    <w:rsid w:val="00150D6B"/>
    <w:rsid w:val="001567D1"/>
    <w:rsid w:val="001A4140"/>
    <w:rsid w:val="001C6DC8"/>
    <w:rsid w:val="001D2B54"/>
    <w:rsid w:val="001F3F00"/>
    <w:rsid w:val="00217723"/>
    <w:rsid w:val="00221201"/>
    <w:rsid w:val="00240039"/>
    <w:rsid w:val="00242966"/>
    <w:rsid w:val="002764D6"/>
    <w:rsid w:val="00276AFF"/>
    <w:rsid w:val="002904F4"/>
    <w:rsid w:val="002B0F60"/>
    <w:rsid w:val="002D3593"/>
    <w:rsid w:val="002F57A3"/>
    <w:rsid w:val="00312A04"/>
    <w:rsid w:val="00324573"/>
    <w:rsid w:val="00365CD1"/>
    <w:rsid w:val="003B5758"/>
    <w:rsid w:val="003D06FB"/>
    <w:rsid w:val="003D7338"/>
    <w:rsid w:val="003F6AB7"/>
    <w:rsid w:val="00430ADB"/>
    <w:rsid w:val="004E4388"/>
    <w:rsid w:val="004E7C7C"/>
    <w:rsid w:val="004F1AAE"/>
    <w:rsid w:val="00521709"/>
    <w:rsid w:val="00534442"/>
    <w:rsid w:val="0056117F"/>
    <w:rsid w:val="00570488"/>
    <w:rsid w:val="00570CB2"/>
    <w:rsid w:val="005E1E5B"/>
    <w:rsid w:val="00647362"/>
    <w:rsid w:val="00647CD8"/>
    <w:rsid w:val="006A0044"/>
    <w:rsid w:val="006C620D"/>
    <w:rsid w:val="006E6117"/>
    <w:rsid w:val="006E7D35"/>
    <w:rsid w:val="007123B2"/>
    <w:rsid w:val="00751253"/>
    <w:rsid w:val="00763E63"/>
    <w:rsid w:val="00777A0D"/>
    <w:rsid w:val="007810AD"/>
    <w:rsid w:val="007871A0"/>
    <w:rsid w:val="00790B3E"/>
    <w:rsid w:val="00797719"/>
    <w:rsid w:val="007A3A0B"/>
    <w:rsid w:val="007C6316"/>
    <w:rsid w:val="008535DC"/>
    <w:rsid w:val="008A0B6F"/>
    <w:rsid w:val="008A0B91"/>
    <w:rsid w:val="008A7AB5"/>
    <w:rsid w:val="008D4A72"/>
    <w:rsid w:val="00917129"/>
    <w:rsid w:val="00975E44"/>
    <w:rsid w:val="00995154"/>
    <w:rsid w:val="009B5836"/>
    <w:rsid w:val="009B6C2A"/>
    <w:rsid w:val="00A01D11"/>
    <w:rsid w:val="00A1253E"/>
    <w:rsid w:val="00A152A6"/>
    <w:rsid w:val="00A76B03"/>
    <w:rsid w:val="00AC4436"/>
    <w:rsid w:val="00B064B9"/>
    <w:rsid w:val="00B70572"/>
    <w:rsid w:val="00B937C4"/>
    <w:rsid w:val="00B954BB"/>
    <w:rsid w:val="00BB654B"/>
    <w:rsid w:val="00C00323"/>
    <w:rsid w:val="00C14983"/>
    <w:rsid w:val="00C367A0"/>
    <w:rsid w:val="00C8096F"/>
    <w:rsid w:val="00C861BA"/>
    <w:rsid w:val="00CA28AC"/>
    <w:rsid w:val="00CA50DD"/>
    <w:rsid w:val="00CD3E86"/>
    <w:rsid w:val="00CF79B6"/>
    <w:rsid w:val="00D437EE"/>
    <w:rsid w:val="00D70738"/>
    <w:rsid w:val="00D87214"/>
    <w:rsid w:val="00DC68F4"/>
    <w:rsid w:val="00DE36C4"/>
    <w:rsid w:val="00E370CA"/>
    <w:rsid w:val="00E44EE7"/>
    <w:rsid w:val="00E65AEC"/>
    <w:rsid w:val="00E75C17"/>
    <w:rsid w:val="00EB4809"/>
    <w:rsid w:val="00EB58FF"/>
    <w:rsid w:val="00EF451C"/>
    <w:rsid w:val="00F62B7D"/>
    <w:rsid w:val="00F712BD"/>
    <w:rsid w:val="00F74E7B"/>
    <w:rsid w:val="00FE465D"/>
    <w:rsid w:val="03F60FF6"/>
    <w:rsid w:val="05EF65B1"/>
    <w:rsid w:val="06085F31"/>
    <w:rsid w:val="0F9D2C6D"/>
    <w:rsid w:val="17CE7E68"/>
    <w:rsid w:val="1A181B9F"/>
    <w:rsid w:val="280F6544"/>
    <w:rsid w:val="294F3DC5"/>
    <w:rsid w:val="2B362276"/>
    <w:rsid w:val="34B85623"/>
    <w:rsid w:val="436505E5"/>
    <w:rsid w:val="444C059D"/>
    <w:rsid w:val="4F986114"/>
    <w:rsid w:val="5D9E5D76"/>
    <w:rsid w:val="6A7321DD"/>
    <w:rsid w:val="6DF8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5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6">
    <w:name w:val="annotation text"/>
    <w:basedOn w:val="1"/>
    <w:link w:val="30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11">
    <w:name w:val="toc 2"/>
    <w:basedOn w:val="1"/>
    <w:next w:val="1"/>
    <w:semiHidden/>
    <w:qFormat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annotation subject"/>
    <w:basedOn w:val="6"/>
    <w:next w:val="6"/>
    <w:link w:val="31"/>
    <w:semiHidden/>
    <w:unhideWhenUsed/>
    <w:uiPriority w:val="99"/>
    <w:rPr>
      <w:b/>
      <w:bCs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uiPriority w:val="0"/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styleId="21">
    <w:name w:val="HTML Code"/>
    <w:basedOn w:val="17"/>
    <w:uiPriority w:val="0"/>
    <w:rPr>
      <w:rFonts w:ascii="Courier New" w:hAnsi="Courier New"/>
      <w:sz w:val="20"/>
    </w:rPr>
  </w:style>
  <w:style w:type="character" w:styleId="22">
    <w:name w:val="annotation reference"/>
    <w:basedOn w:val="17"/>
    <w:semiHidden/>
    <w:unhideWhenUsed/>
    <w:uiPriority w:val="99"/>
    <w:rPr>
      <w:sz w:val="21"/>
      <w:szCs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字符"/>
    <w:basedOn w:val="17"/>
    <w:link w:val="9"/>
    <w:uiPriority w:val="99"/>
    <w:rPr>
      <w:sz w:val="18"/>
      <w:szCs w:val="18"/>
    </w:rPr>
  </w:style>
  <w:style w:type="character" w:customStyle="1" w:styleId="25">
    <w:name w:val="页脚 字符"/>
    <w:basedOn w:val="17"/>
    <w:link w:val="8"/>
    <w:qFormat/>
    <w:uiPriority w:val="99"/>
    <w:rPr>
      <w:sz w:val="18"/>
      <w:szCs w:val="18"/>
    </w:rPr>
  </w:style>
  <w:style w:type="character" w:customStyle="1" w:styleId="26">
    <w:name w:val="标题 1 字符"/>
    <w:basedOn w:val="17"/>
    <w:qFormat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basedOn w:val="17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9">
    <w:name w:val="标题 2 字符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0">
    <w:name w:val="批注文字 字符"/>
    <w:basedOn w:val="17"/>
    <w:link w:val="6"/>
    <w:semiHidden/>
    <w:qFormat/>
    <w:uiPriority w:val="99"/>
    <w:rPr>
      <w:kern w:val="2"/>
      <w:sz w:val="21"/>
      <w:szCs w:val="22"/>
    </w:rPr>
  </w:style>
  <w:style w:type="character" w:customStyle="1" w:styleId="31">
    <w:name w:val="批注主题 字符"/>
    <w:basedOn w:val="30"/>
    <w:link w:val="14"/>
    <w:semiHidden/>
    <w:qFormat/>
    <w:uiPriority w:val="99"/>
    <w:rPr>
      <w:b/>
      <w:bCs/>
      <w:kern w:val="2"/>
      <w:sz w:val="21"/>
      <w:szCs w:val="22"/>
    </w:rPr>
  </w:style>
  <w:style w:type="character" w:customStyle="1" w:styleId="32">
    <w:name w:val="批注框文本 字符"/>
    <w:basedOn w:val="17"/>
    <w:link w:val="7"/>
    <w:semiHidden/>
    <w:uiPriority w:val="99"/>
    <w:rPr>
      <w:kern w:val="2"/>
      <w:sz w:val="18"/>
      <w:szCs w:val="18"/>
    </w:rPr>
  </w:style>
  <w:style w:type="paragraph" w:customStyle="1" w:styleId="33">
    <w:name w:val="heading 3"/>
    <w:basedOn w:val="1"/>
    <w:uiPriority w:val="0"/>
  </w:style>
  <w:style w:type="paragraph" w:customStyle="1" w:styleId="34">
    <w:name w:val="caption"/>
    <w:basedOn w:val="1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9" Type="http://schemas.openxmlformats.org/officeDocument/2006/relationships/fontTable" Target="fontTable.xml"/><Relationship Id="rId68" Type="http://schemas.openxmlformats.org/officeDocument/2006/relationships/customXml" Target="../customXml/item1.xml"/><Relationship Id="rId67" Type="http://schemas.openxmlformats.org/officeDocument/2006/relationships/numbering" Target="numbering.xml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80A5-5154-4282-A637-82181D834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34</Pages>
  <Words>181</Words>
  <Characters>313</Characters>
  <Lines>3</Lines>
  <Paragraphs>1</Paragraphs>
  <TotalTime>2</TotalTime>
  <ScaleCrop>false</ScaleCrop>
  <LinksUpToDate>false</LinksUpToDate>
  <CharactersWithSpaces>346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2019-01-07T06:05:00Z</dcterms:created>
  <dc:creator>xing</dc:creator>
  <cp:lastModifiedBy>,,,,</cp:lastModifiedBy>
  <cp:lastPrinted>2019-01-07T07:10:00Z</cp:lastPrinted>
  <dcterms:modified xsi:type="dcterms:W3CDTF">2026-10-26T05:36:29Z</dcterms:modified>
  <dc:subject>课程实验结果、问题分析与模型比较</dc:subject>
  <dc:title>《深度学习案例与实践》结课报告（图片缩小同页版）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FE4C652105334AE88CE758556CF18B66</vt:lpwstr>
  </property>
  <property fmtid="{D5CDD505-2E9C-101B-9397-08002B2CF9AE}" pid="4" name="KSOTemplateDocerSaveRecord">
    <vt:lpwstr>eyJoZGlkIjoiYjRlNGE5NTQxNDkwMThlMTBiNTlhNzhlMTMyOTdhZjYiLCJ1c2VySWQiOiIxMjYxOTIyNDg2In0=</vt:lpwstr>
  </property>
</Properties>
</file>