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宋体" w:cs="Times New Roman"/>
          <w:b/>
          <w:color w:val="000000"/>
          <w:sz w:val="24"/>
        </w:rPr>
        <w:t>《深度学习案例与实践》</w:t>
      </w:r>
    </w:p>
    <w:p w14:paraId="230EE91B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宋体" w:cs="Times New Roman"/>
          <w:b/>
          <w:color w:val="000000"/>
          <w:sz w:val="2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【请填写学院】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【请填写专业】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【请填写学号】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【请填写姓名】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eastAsia="宋体"/>
          <w:color w:val="000000"/>
          <w:sz w:val="24"/>
          <w:szCs w:val="18"/>
        </w:rPr>
        <w:br w:type="page"/>
      </w:r>
    </w:p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2831" w:type="dxa"/>
            <w:vAlign w:val="center"/>
          </w:tcPr>
          <w:p w14:paraId="0DA6F61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before="240" w:after="240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1  Anaconda 下载与环境配置</w:t>
      </w:r>
    </w:p>
    <w:p w14:paraId="07A0EBB3">
      <w:pPr>
        <w:pStyle w:val="3"/>
        <w:spacing w:before="120" w:after="12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1.1  下载页面</w:t>
      </w:r>
    </w:p>
    <w:p w14:paraId="014510E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31E63A7">
      <w:pPr>
        <w:spacing w:before="60" w:after="40"/>
        <w:jc w:val="center"/>
        <w:keepNext w:val="1"/>
        <w:keepLines w:val="1"/>
      </w:pPr>
      <w:bookmarkStart w:id="1001" w:name="Figure_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25268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2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1"/>
    </w:p>
    <w:p w14:paraId="66DACDE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  Anaconda 官方下载页面</w:t>
      </w:r>
    </w:p>
    <w:p w14:paraId="7079FCF6">
      <w:pPr>
        <w:pStyle w:val="13"/>
        <w:keepNext w:val="0"/>
        <w:keepLines w:val="0"/>
        <w:widowControl/>
        <w:suppressLineNumbers w:val="0"/>
        <w:spacing w:before="0" w:after="0" w:line="360" w:lineRule="auto"/>
        <w:ind w:right="720"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宋体"/>
          <w:color w:val="000000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宋体"/>
          <w:color w:val="000000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color w:val="000000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宋体"/>
          <w:color w:val="000000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xxx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Windows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宋体"/>
          <w:color w:val="000000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FCC7614">
      <w:pPr>
        <w:spacing w:before="60" w:after="40"/>
        <w:jc w:val="center"/>
        <w:keepNext w:val="1"/>
        <w:keepLines w:val="1"/>
      </w:pPr>
      <w:bookmarkStart w:id="1002" w:name="Figure_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89678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8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2"/>
    </w:p>
    <w:p w14:paraId="31143EA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0318F5A">
      <w:pPr>
        <w:spacing w:before="60" w:after="40"/>
        <w:jc w:val="center"/>
        <w:keepNext w:val="1"/>
        <w:keepLines w:val="1"/>
      </w:pPr>
      <w:bookmarkStart w:id="1003" w:name="Figure_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73624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3"/>
    </w:p>
    <w:p w14:paraId="2F2394B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  Conda 命令检验</w:t>
      </w:r>
    </w:p>
    <w:p w14:paraId="6B36B0C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2B81B27">
      <w:pPr>
        <w:spacing w:before="60" w:after="40"/>
        <w:jc w:val="center"/>
        <w:keepNext w:val="1"/>
        <w:keepLines w:val="1"/>
      </w:pPr>
      <w:bookmarkStart w:id="1004" w:name="Figure_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59732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5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4"/>
    </w:p>
    <w:p w14:paraId="56BAEAA5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3050A78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5" w:name="Figure_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638427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3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5"/>
    </w:p>
    <w:p w14:paraId="54F8E83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28E0DE0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6" w:name="Figure_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621350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6"/>
    </w:p>
    <w:p w14:paraId="48314FB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BE664E7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7" w:name="Figure_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15105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7"/>
    </w:p>
    <w:p w14:paraId="3E42EAE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E22E8ED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08" w:name="Figure_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69734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6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8"/>
    </w:p>
    <w:p w14:paraId="5E2EF31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C5EA19C">
      <w:pPr>
        <w:numPr>
          <w:ilvl w:val="0"/>
          <w:numId w:val="0"/>
        </w:numPr>
        <w:bidi w:val="0"/>
        <w:spacing w:before="60" w:after="40"/>
        <w:jc w:val="center"/>
        <w:rPr>
          <w:rFonts w:hint="default"/>
          <w:lang w:val="en-US" w:eastAsia="zh-CN"/>
        </w:rPr>
        <w:keepNext w:val="1"/>
        <w:keepLines w:val="1"/>
      </w:pPr>
      <w:bookmarkStart w:id="1009" w:name="Figure_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89811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9"/>
    </w:p>
    <w:p w14:paraId="5671A43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3.1  基线模型运行结果</w:t>
      </w:r>
    </w:p>
    <w:p w14:paraId="709E301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07B9635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0" w:name="Figure_1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54162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5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0"/>
    </w:p>
    <w:p w14:paraId="16C5A77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图10  全连接网络基线训练过程</w:t>
      </w:r>
    </w:p>
    <w:p w14:paraId="1BD3052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CF9D2D5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1" w:name="Figure_1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13118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1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1"/>
    </w:p>
    <w:p w14:paraId="15BC6C3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将隐藏层从128改为256，观察准确率变化</w:t>
      </w:r>
    </w:p>
    <w:p w14:paraId="1D37D5A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color w:val="000000"/>
          <w:sz w:val="24"/>
        </w:rPr>
        <w:t>对比之前 128 神经元的准确率：</w:t>
      </w:r>
    </w:p>
    <w:p w14:paraId="748AFB17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C3619C7">
      <w:pPr>
        <w:numPr>
          <w:ilvl w:val="0"/>
          <w:numId w:val="0"/>
        </w:numPr>
        <w:spacing w:before="60" w:after="40"/>
        <w:jc w:val="center"/>
        <w:rPr>
          <w:rFonts w:hint="eastAsia"/>
          <w:lang w:val="en-US" w:eastAsia="zh-CN"/>
        </w:rPr>
        <w:keepNext w:val="1"/>
        <w:keepLines w:val="1"/>
      </w:pPr>
      <w:bookmarkStart w:id="1012" w:name="Figure_1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432286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2"/>
    </w:p>
    <w:p w14:paraId="6AE9CE4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图12  隐藏层宽度调整代码</w:t>
      </w:r>
    </w:p>
    <w:p w14:paraId="7E4AD3F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CBE3A1A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3" w:name="Figure_1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35328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3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3"/>
    </w:p>
    <w:p w14:paraId="41968C67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648FEFF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14" w:name="Figure_1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76461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7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4"/>
    </w:p>
    <w:p w14:paraId="7948346B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图14  隐藏层宽度调整后的准确率曲线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隐藏层宽度实验的量化结果见</w:t>
      </w:r>
      <w:hyperlink w:anchor="Table_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表1</w:t>
        </w:r>
      </w:hyperlink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240" w:lineRule="auto" w:before="60" w:after="120"/>
        <w:jc w:val="center"/>
      </w:pPr>
      <w:bookmarkStart w:id="2001" w:name="Table_1"/>
      <w:r>
        <w:rPr>
          <w:rFonts w:ascii="Times New Roman" w:hAnsi="Times New Roman" w:eastAsia="宋体"/>
          <w:color w:val="000000"/>
          <w:sz w:val="21"/>
        </w:rPr>
        <w:t>表1  隐藏层宽度对准确率和损失的影响</w:t>
      </w:r>
      <w:bookmarkEnd w:id="2001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/>
          <w:color w:val="000000"/>
          <w:sz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/>
          <w:color w:val="000000"/>
          <w:sz w:val="24"/>
        </w:rPr>
        <w:t>，消除其他因素对实验结果带来的干扰，实验结果如</w:t>
      </w:r>
      <w:hyperlink w:anchor="Table_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表1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AAA7FFB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</w:t>
      </w:r>
      <w:hyperlink w:anchor="Table_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表1</w:t>
        </w:r>
      </w:hyperlink>
      <w:r>
        <w:rPr>
          <w:rFonts w:ascii="Times New Roman" w:hAnsi="Times New Roman" w:eastAsia="宋体"/>
          <w:color w:val="000000"/>
          <w:sz w:val="24"/>
        </w:rPr>
        <w:t>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6B6A186E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453A8A57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8BDAF13">
      <w:pPr>
        <w:spacing w:before="60" w:after="40"/>
        <w:jc w:val="center"/>
        <w:keepNext w:val="1"/>
        <w:keepLines w:val="1"/>
      </w:pPr>
      <w:bookmarkStart w:id="1015" w:name="Figure_1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593714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9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5"/>
    </w:p>
    <w:p w14:paraId="722BD31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图15  Adam 优化器训练结果</w:t>
      </w:r>
    </w:p>
    <w:p w14:paraId="1ECEF5D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8CE5F48">
      <w:pPr>
        <w:spacing w:before="60" w:after="40"/>
        <w:jc w:val="center"/>
        <w:keepNext w:val="1"/>
        <w:keepLines w:val="1"/>
      </w:pPr>
      <w:bookmarkStart w:id="1016" w:name="Figure_1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710954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6"/>
    </w:p>
    <w:p w14:paraId="2DB721E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图16  SGD 优化器训练结果</w:t>
      </w:r>
    </w:p>
    <w:p w14:paraId="3AF04650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</w:t>
      </w:r>
      <w:hyperlink w:anchor="Figure_1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图16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所示，两种优化器量化对比结果如</w:t>
      </w:r>
      <w:hyperlink w:anchor="Table_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表2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所示。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Adam与SGD优化器的量化对比结果见</w:t>
      </w:r>
      <w:hyperlink w:anchor="Table_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表2</w:t>
        </w:r>
      </w:hyperlink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240" w:lineRule="auto" w:before="60" w:after="120"/>
        <w:jc w:val="center"/>
      </w:pPr>
      <w:bookmarkStart w:id="2002" w:name="Table_2"/>
      <w:r>
        <w:rPr>
          <w:rFonts w:ascii="Times New Roman" w:hAnsi="Times New Roman" w:eastAsia="宋体"/>
          <w:color w:val="000000"/>
          <w:sz w:val="21"/>
        </w:rPr>
        <w:t>表2  Adam与SGD优化器对比</w:t>
      </w:r>
      <w:bookmarkEnd w:id="2002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27</w:t>
            </w:r>
          </w:p>
        </w:tc>
      </w:tr>
    </w:tbl>
    <w:p w14:paraId="66F24332">
      <w:pPr>
        <w:rPr>
          <w:rFonts w:ascii="宋体" w:hAnsi="宋体" w:eastAsia="宋体" w:cs="宋体"/>
          <w:sz w:val="24"/>
          <w:szCs w:val="24"/>
        </w:rPr>
      </w:pPr>
    </w:p>
    <w:p w14:paraId="1C43734A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1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由</w:t>
      </w:r>
      <w:hyperlink w:anchor="Figure_1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图16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可见，SGD 初始损失为 2.3464，损失整体下降趋势平缓，下降速度慢于 Adam。结合</w:t>
      </w:r>
      <w:hyperlink w:anchor="Table_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表2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7A868D41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2FC2CC0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BD99C13">
      <w:pPr>
        <w:spacing w:before="60" w:after="40"/>
        <w:jc w:val="center"/>
        <w:keepNext w:val="1"/>
        <w:keepLines w:val="1"/>
      </w:pPr>
      <w:bookmarkStart w:id="1017" w:name="Figure_1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617869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7"/>
    </w:p>
    <w:p w14:paraId="207C253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打开 Anaconda Prompt：</w:t>
      </w:r>
    </w:p>
    <w:p w14:paraId="53E56FA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conda activate pytorch</w:t>
      </w:r>
    </w:p>
    <w:p w14:paraId="01F666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color w:val="000000"/>
          <w:sz w:val="24"/>
        </w:rPr>
        <w:t>pip install matplotlib -i https://pypi.tuna.tsinghua.edu.cn/simple</w:t>
      </w:r>
    </w:p>
    <w:p w14:paraId="7BD4B2C9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激活正确环境后安装 matplotlib，即可恢复绘图功能。</w:t>
      </w:r>
    </w:p>
    <w:p w14:paraId="6283C270">
      <w:pPr>
        <w:pStyle w:val="33"/>
        <w:keepNext w:val="0"/>
        <w:keepLines w:val="0"/>
        <w:widowControl/>
        <w:suppressLineNumbers w:val="0"/>
        <w:spacing w:before="60" w:after="60"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3A95C7C">
      <w:pPr>
        <w:spacing w:before="60" w:after="40"/>
        <w:jc w:val="center"/>
        <w:keepNext w:val="1"/>
        <w:keepLines w:val="1"/>
      </w:pPr>
      <w:bookmarkStart w:id="1018" w:name="Figure_1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21291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8"/>
    </w:p>
    <w:p w14:paraId="790FC82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Consolas"/>
          <w:color w:val="000000"/>
          <w:sz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宋体"/>
          <w:b/>
          <w:color w:val="000000"/>
          <w:sz w:val="2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4.1  连续训练的基线结果</w:t>
      </w:r>
    </w:p>
    <w:p w14:paraId="57783EB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1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图19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90C35A4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19" w:name="Figure_1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190731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9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9"/>
    </w:p>
    <w:p w14:paraId="7B858F7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4.2  从检查点恢复训练的结果</w:t>
      </w:r>
    </w:p>
    <w:p w14:paraId="123826D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D05636F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20" w:name="Figure_2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47961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4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0"/>
    </w:p>
    <w:p w14:paraId="689106A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</w:pPr>
      <w:r>
        <w:rPr>
          <w:rFonts w:ascii="Times New Roman" w:hAnsi="Times New Roman" w:eastAsia="宋体" w:cs="宋体"/>
          <w:color w:val="000000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、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存储优化器内部状态，epoch 记录当前训练轮次，保证恢复训练时模型、优化器状态与训练进度完整承接。 由</w:t>
      </w:r>
      <w:hyperlink w:anchor="Figure_20" w:history="1">
        <w:r>
          <w:rPr>
            <w:rFonts w:ascii="Times New Roman" w:hAnsi="Times New Roman" w:eastAsia="宋体" w:cs="宋体"/>
            <w:color w:val="0563C1"/>
            <w:sz w:val="24"/>
            <w:szCs w:val="24"/>
            <w:u w:val="single"/>
          </w:rPr>
          <w:t>图 20</w:t>
        </w:r>
      </w:hyperlink>
      <w:r>
        <w:rPr>
          <w:rFonts w:ascii="Times New Roman" w:hAnsi="Times New Roman" w:eastAsia="宋体" w:cs="宋体"/>
          <w:color w:val="000000"/>
          <w:sz w:val="24"/>
          <w:szCs w:val="24"/>
        </w:rPr>
        <w:t xml:space="preserve">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  CNN 手写数字识别</w:t>
      </w:r>
    </w:p>
    <w:p w14:paraId="77CB24A2">
      <w:pPr>
        <w:pStyle w:val="3"/>
        <w:spacing w:before="120" w:after="12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5.1  CNN 运行结果</w:t>
      </w:r>
    </w:p>
    <w:p w14:paraId="1560EF3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7BB4857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21" w:name="Figure_2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518703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1"/>
    </w:p>
    <w:p w14:paraId="4EC5E49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0155732">
      <w:pPr>
        <w:spacing w:before="60" w:after="40"/>
        <w:jc w:val="center"/>
        <w:keepNext w:val="1"/>
        <w:keepLines w:val="1"/>
      </w:pPr>
      <w:bookmarkStart w:id="1022" w:name="Figure_2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166429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6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2"/>
    </w:p>
    <w:p w14:paraId="6A7B28D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宋体"/>
          <w:color w:val="000000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color w:val="000000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/>
          <w:b/>
          <w:color w:val="000000"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D5B07FC">
      <w:pPr>
        <w:numPr>
          <w:ilvl w:val="0"/>
          <w:numId w:val="0"/>
        </w:numPr>
        <w:bidi w:val="0"/>
        <w:spacing w:before="60" w:after="40"/>
        <w:jc w:val="center"/>
        <w:rPr>
          <w:rFonts w:ascii="宋体" w:hAnsi="宋体" w:eastAsia="宋体" w:cs="宋体"/>
          <w:sz w:val="24"/>
          <w:szCs w:val="24"/>
        </w:rPr>
        <w:keepNext w:val="1"/>
        <w:keepLines w:val="1"/>
      </w:pPr>
      <w:bookmarkStart w:id="1023" w:name="Figure_2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19245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3"/>
    </w:p>
    <w:p w14:paraId="3D0BFCE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F9FD5D8">
      <w:pPr>
        <w:spacing w:before="60" w:after="40"/>
        <w:jc w:val="center"/>
        <w:keepNext w:val="1"/>
        <w:keepLines w:val="1"/>
      </w:pPr>
      <w:bookmarkStart w:id="1024" w:name="Figure_2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62014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4"/>
    </w:p>
    <w:p w14:paraId="732570C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6EEAD5D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CCEE3F8">
      <w:pPr>
        <w:spacing w:before="60" w:after="40"/>
        <w:jc w:val="center"/>
        <w:keepNext w:val="1"/>
        <w:keepLines w:val="1"/>
      </w:pPr>
      <w:bookmarkStart w:id="1025" w:name="Figure_2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361458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5"/>
    </w:p>
    <w:p w14:paraId="6AFD079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图25  移除 Dropout 后的训练结果</w:t>
      </w:r>
    </w:p>
    <w:p w14:paraId="71EB75B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E75EDCF">
      <w:pPr>
        <w:spacing w:before="60" w:after="40"/>
        <w:jc w:val="center"/>
        <w:keepNext w:val="1"/>
        <w:keepLines w:val="1"/>
      </w:pPr>
      <w:bookmarkStart w:id="1026" w:name="Figure_2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062526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6"/>
    </w:p>
    <w:p w14:paraId="6465290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图26  移除 Dropout 后的准确率曲线</w:t>
      </w:r>
    </w:p>
    <w:p w14:paraId="10AF606C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5.2.4  增加第三个卷积层的影响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F9A5442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27" w:name="Figure_2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78112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7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7"/>
    </w:p>
    <w:p w14:paraId="12E34DD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5AC3084">
      <w:pPr>
        <w:spacing w:before="60" w:after="40"/>
        <w:jc w:val="center"/>
        <w:keepNext w:val="1"/>
        <w:keepLines w:val="1"/>
      </w:pPr>
      <w:bookmarkStart w:id="1028" w:name="Figure_2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19771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1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8"/>
    </w:p>
    <w:p w14:paraId="7AB14CA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图28  增加第三个卷积层后的准确率曲线</w:t>
      </w:r>
    </w:p>
    <w:p w14:paraId="46BF1C12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宋体"/>
          <w:b/>
          <w:color w:val="000000"/>
          <w:sz w:val="24"/>
        </w:rPr>
        <w:t>6.1 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2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5B77D60">
      <w:pPr>
        <w:pStyle w:val="4"/>
        <w:spacing w:before="60" w:after="40"/>
        <w:jc w:val="center"/>
        <w:rPr>
          <w:rFonts w:hint="eastAsia"/>
          <w:lang w:val="en-US" w:eastAsia="zh-CN"/>
        </w:rPr>
        <w:keepNext w:val="1"/>
        <w:keepLines w:val="1"/>
      </w:pPr>
      <w:bookmarkStart w:id="1029" w:name="Figure_29"/>
      <w:bookmarkStart w:id="0" w:name="_GoBack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1974832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48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29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图29  猫狗识别模型的 PyCharm 运行输出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spacing w:before="60" w:after="40"/>
        <w:jc w:val="center"/>
        <w:keepNext w:val="1"/>
        <w:keepLines w:val="1"/>
      </w:pPr>
      <w:bookmarkStart w:id="1030" w:name="Figure_3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1553241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532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0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图30  猫狗识别训练损失与准确率曲线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spacing w:before="60" w:after="40"/>
        <w:jc w:val="center"/>
        <w:keepNext w:val="1"/>
        <w:keepLines w:val="1"/>
      </w:pPr>
      <w:bookmarkStart w:id="1031" w:name="Figure_31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3278945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7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1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图31  猫狗识别测试集混淆矩阵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spacing w:before="60" w:after="40"/>
        <w:jc w:val="center"/>
        <w:keepNext w:val="1"/>
        <w:keepLines w:val="1"/>
      </w:pPr>
      <w:bookmarkStart w:id="1032" w:name="Figure_32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80000" cy="2046768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467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2"/>
    </w:p>
    <w:p>
      <w:pPr>
        <w:pStyle w:val="34"/>
        <w:spacing w:line="240" w:lineRule="auto" w:before="40" w:after="120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图32  猫狗识别测试集预测样例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6.1.1  实验设置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</w:t>
      </w:r>
      <w:hyperlink w:anchor="Figure_2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图29</w:t>
        </w:r>
      </w:hyperlink>
      <w:r>
        <w:rPr>
          <w:rFonts w:ascii="Times New Roman" w:hAnsi="Times New Roman" w:eastAsia="宋体"/>
          <w:color w:val="000000"/>
          <w:sz w:val="24"/>
        </w:rPr>
        <w:t>和</w:t>
      </w:r>
      <w:hyperlink w:anchor="Figure_3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6.1.2  实验结果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</w:t>
      </w:r>
      <w:hyperlink w:anchor="Figure_3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图30</w:t>
        </w:r>
      </w:hyperlink>
      <w:r>
        <w:rPr>
          <w:rFonts w:ascii="Times New Roman" w:hAnsi="Times New Roman" w:eastAsia="宋体"/>
          <w:color w:val="000000"/>
          <w:sz w:val="24"/>
        </w:rPr>
        <w:t>显示训练损失总体下降，测试准确率虽有阶段性波动，但整体呈上升趋势。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宋体"/>
          <w:b/>
          <w:color w:val="000000"/>
          <w:sz w:val="24"/>
        </w:rPr>
        <w:t>6.1.3  混淆矩阵与误分类分析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测试集混淆矩阵如</w:t>
      </w:r>
      <w:hyperlink w:anchor="Figure_3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图31</w:t>
        </w:r>
      </w:hyperlink>
      <w:r>
        <w:rPr>
          <w:rFonts w:ascii="Times New Roman" w:hAnsi="Times New Roman" w:eastAsia="宋体"/>
          <w:color w:val="000000"/>
          <w:sz w:val="24"/>
        </w:rPr>
        <w:t>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预测样例如</w:t>
      </w:r>
      <w:hyperlink w:anchor="Figure_3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图32</w:t>
        </w:r>
      </w:hyperlink>
      <w:r>
        <w:rPr>
          <w:rFonts w:ascii="Times New Roman" w:hAnsi="Times New Roman" w:eastAsia="宋体"/>
          <w:color w:val="000000"/>
          <w:sz w:val="24"/>
        </w:rPr>
        <w:t>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color w:val="000000"/>
          <w:sz w:val="24"/>
        </w:rPr>
        <w:t>猫狗识别实验的主要量化结果见</w:t>
      </w:r>
      <w:hyperlink w:anchor="Table_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表3</w:t>
        </w:r>
      </w:hyperlink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240" w:lineRule="auto" w:before="60" w:after="120"/>
        <w:jc w:val="center"/>
      </w:pPr>
      <w:bookmarkStart w:id="2003" w:name="Table_3"/>
      <w:r>
        <w:rPr>
          <w:rFonts w:ascii="Times New Roman" w:hAnsi="Times New Roman" w:eastAsia="宋体"/>
          <w:color w:val="000000"/>
          <w:sz w:val="21"/>
        </w:rPr>
        <w:t>表3  猫狗识别实验结果汇总</w:t>
      </w:r>
      <w:bookmarkEnd w:id="2003"/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实验结果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模型参数量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训练轮数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训练总时间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 s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最佳训练集准确率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88.71%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最佳测试集损失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6.2.1  数据路径配置错误</w:t>
      </w:r>
    </w:p>
    <w:p w14:paraId="338D076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04518E0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33" w:name="Figure_3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78448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3"/>
    </w:p>
    <w:p w14:paraId="58A6A81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43251A7">
      <w:pPr>
        <w:numPr>
          <w:ilvl w:val="0"/>
          <w:numId w:val="0"/>
        </w:numPr>
        <w:bidi w:val="0"/>
        <w:spacing w:before="60" w:after="40"/>
        <w:jc w:val="center"/>
        <w:keepNext w:val="1"/>
        <w:keepLines w:val="1"/>
      </w:pPr>
      <w:bookmarkStart w:id="1034" w:name="Figure_3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51777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5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4"/>
    </w:p>
    <w:p w14:paraId="581AD7B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  VGG16 迁移学习</w:t>
      </w:r>
    </w:p>
    <w:p w14:paraId="2D23B116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7.1  VGG16 运行结果</w:t>
      </w:r>
    </w:p>
    <w:p w14:paraId="094538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EC60258">
      <w:pPr>
        <w:spacing w:before="60" w:after="40"/>
        <w:jc w:val="center"/>
        <w:keepNext w:val="1"/>
        <w:keepLines w:val="1"/>
      </w:pPr>
      <w:bookmarkStart w:id="1035" w:name="Figure_3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944000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5"/>
    </w:p>
    <w:p w14:paraId="52797A5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图35  VGG16迁移学习实验配置与参数</w:t>
      </w:r>
    </w:p>
    <w:p w14:paraId="71DA198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DC2E09C">
      <w:pPr>
        <w:spacing w:before="60" w:after="40"/>
        <w:jc w:val="center"/>
        <w:keepNext w:val="1"/>
        <w:keepLines w:val="1"/>
      </w:pPr>
      <w:bookmarkStart w:id="1036" w:name="Figure_3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456514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6"/>
    </w:p>
    <w:p w14:paraId="2292D12A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图36  VGG16训练损失与准确率曲线</w:t>
      </w:r>
    </w:p>
    <w:p w14:paraId="70E0CB7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3E8B7BC">
      <w:pPr>
        <w:spacing w:before="60" w:after="40"/>
        <w:jc w:val="center"/>
        <w:keepNext w:val="1"/>
        <w:keepLines w:val="1"/>
      </w:pPr>
      <w:bookmarkStart w:id="1037" w:name="Figure_3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44375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7"/>
    </w:p>
    <w:p w14:paraId="6AF1D09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图37  VGG16猫狗识别运行结果</w:t>
      </w:r>
    </w:p>
    <w:p w14:paraId="419A8115">
      <w:pPr>
        <w:keepNext w:val="0"/>
        <w:keepLines w:val="0"/>
        <w:widowControl/>
        <w:suppressLineNumbers w:val="0"/>
      </w:pPr>
      <w:r>
        <w:rPr>
          <w:rFonts w:ascii="Times New Roman" w:hAnsi="Times New Roman" w:eastAsia="宋体"/>
          <w:color w:val="000000"/>
          <w:sz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1D05">
      <w:pPr>
        <w:pStyle w:val="3"/>
        <w:spacing w:before="120" w:after="120" w:line="240" w:lineRule="auto"/>
        <w:rPr>
          <w:rFonts w:hint="eastAsia"/>
        </w:rPr>
      </w:pPr>
      <w:r>
        <w:rPr>
          <w:rFonts w:ascii="Times New Roman" w:hAnsi="Times New Roman" w:eastAsia="宋体"/>
          <w:b/>
          <w:color w:val="000000"/>
          <w:sz w:val="24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</w:t>
      </w:r>
      <w:hyperlink w:anchor="Figure_3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图35</w:t>
        </w:r>
      </w:hyperlink>
      <w:r>
        <w:rPr>
          <w:rFonts w:ascii="Times New Roman" w:hAnsi="Times New Roman" w:eastAsia="宋体"/>
          <w:color w:val="000000"/>
          <w:sz w:val="24"/>
        </w:rPr>
        <w:t>、</w:t>
      </w:r>
      <w:hyperlink w:anchor="Figure_3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图36</w:t>
        </w:r>
      </w:hyperlink>
      <w:r>
        <w:rPr>
          <w:rFonts w:ascii="Times New Roman" w:hAnsi="Times New Roman" w:eastAsia="宋体"/>
          <w:color w:val="000000"/>
          <w:sz w:val="24"/>
        </w:rPr>
        <w:t>和</w:t>
      </w:r>
      <w:hyperlink w:anchor="Figure_3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78CCC78">
      <w:pPr>
        <w:spacing w:before="80" w:after="12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>
      <w:r>
        <w:t>普通CNN与VGG16的量化对比结果见</w:t>
      </w:r>
      <w:hyperlink w:anchor="Table_4" w:history="1">
        <w:r>
          <w:rPr>
            <w:color w:val="0563C1"/>
            <w:u w:val="single"/>
          </w:rPr>
          <w:t>表4</w:t>
        </w:r>
      </w:hyperlink>
      <w:r>
        <w:t>。</w:t>
      </w:r>
    </w:p>
    <w:p>
      <w:pPr>
        <w:jc w:val="center"/>
      </w:pPr>
      <w:bookmarkStart w:id="2004" w:name="Table_4"/>
      <w:r>
        <w:t>表4  普通CNN与VGG16迁移学习结果对比</w:t>
      </w:r>
      <w:bookmarkEnd w:id="2004"/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可训练参数量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训练轮数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测试损失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测试准确率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普通CNN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VGG16迁移学习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14,715,714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1,026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762.84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0.1180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95.30%</w:t>
            </w:r>
          </w:p>
        </w:tc>
      </w:tr>
    </w:tbl>
    <w:p w14:paraId="3E47E819">
      <w:pPr>
        <w:pStyle w:val="2"/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  VGG16 特征可视化</w:t>
      </w:r>
    </w:p>
    <w:p w14:paraId="682FB658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8.1  浅层卷积特征图</w:t>
      </w:r>
    </w:p>
    <w:p w14:paraId="4E8966B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0CD9137">
      <w:pPr>
        <w:spacing w:before="60" w:after="40"/>
        <w:jc w:val="center"/>
        <w:keepNext w:val="1"/>
        <w:keepLines w:val="1"/>
      </w:pPr>
      <w:bookmarkStart w:id="1038" w:name="Figure_3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8"/>
    </w:p>
    <w:p w14:paraId="5F70597C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图38  VGG16 输入原图</w:t>
      </w:r>
    </w:p>
    <w:p w14:paraId="6D3F3E2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3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图39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34B1584">
      <w:pPr>
        <w:spacing w:before="60" w:after="40"/>
        <w:jc w:val="center"/>
        <w:keepNext w:val="1"/>
        <w:keepLines w:val="1"/>
      </w:pPr>
      <w:bookmarkStart w:id="1039" w:name="Figure_3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9"/>
    </w:p>
    <w:p w14:paraId="310CFD68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图39  VGG16 浅层卷积特征图</w:t>
      </w:r>
    </w:p>
    <w:p w14:paraId="10F7FBF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36051E1">
      <w:pPr>
        <w:spacing w:before="60" w:after="40"/>
        <w:jc w:val="center"/>
        <w:keepNext w:val="1"/>
        <w:keepLines w:val="1"/>
      </w:pPr>
      <w:bookmarkStart w:id="1040" w:name="Figure_4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0"/>
    </w:p>
    <w:p w14:paraId="45BE360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8A985F5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bookmarkStart w:id="1041" w:name="Figure_4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1"/>
    </w:p>
    <w:p w14:paraId="0D08C8C6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图41  VGG16 深层特征图（一）</w:t>
      </w:r>
    </w:p>
    <w:p w14:paraId="10ABEC1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401E1AA">
      <w:pPr>
        <w:spacing w:before="60" w:after="40"/>
        <w:jc w:val="center"/>
        <w:keepNext w:val="1"/>
        <w:keepLines w:val="1"/>
      </w:pPr>
      <w:bookmarkStart w:id="1042" w:name="Figure_4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2"/>
    </w:p>
    <w:p w14:paraId="27A3C77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图42  VGG16 深层特征图（二）</w:t>
      </w:r>
    </w:p>
    <w:p w14:paraId="03203C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F85473D">
      <w:pPr>
        <w:spacing w:before="60" w:after="40"/>
        <w:jc w:val="center"/>
        <w:keepNext w:val="1"/>
        <w:keepLines w:val="1"/>
      </w:pPr>
      <w:bookmarkStart w:id="1043" w:name="Figure_4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3"/>
    </w:p>
    <w:p w14:paraId="2520CAA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图43  VGG16 深层特征图（三）</w:t>
      </w:r>
    </w:p>
    <w:p w14:paraId="5BA74E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73841DE">
      <w:pPr>
        <w:spacing w:before="60" w:after="40"/>
        <w:jc w:val="center"/>
        <w:keepNext w:val="1"/>
        <w:keepLines w:val="1"/>
      </w:pPr>
      <w:bookmarkStart w:id="1044" w:name="Figure_4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4"/>
    </w:p>
    <w:p w14:paraId="6B6B9F4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6219094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bookmarkStart w:id="1045" w:name="Figure_4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5"/>
    </w:p>
    <w:p w14:paraId="37EAF4C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7F630716">
      <w:pPr>
        <w:tabs>
          <w:tab w:val="left" w:pos="3167"/>
        </w:tabs>
        <w:bidi w:val="0"/>
        <w:spacing w:before="60" w:after="40"/>
        <w:jc w:val="center"/>
        <w:keepNext w:val="1"/>
        <w:keepLines w:val="1"/>
      </w:pPr>
      <w:bookmarkStart w:id="1046" w:name="Figure_4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34861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6"/>
    </w:p>
    <w:p w14:paraId="7588FD01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098149C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123D05F">
      <w:pPr>
        <w:spacing w:before="60" w:after="40"/>
        <w:jc w:val="center"/>
        <w:keepNext w:val="1"/>
        <w:keepLines w:val="1"/>
      </w:pPr>
      <w:bookmarkStart w:id="1047" w:name="Figure_47"/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780000" cy="2834861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7"/>
    </w:p>
    <w:p w14:paraId="22BF1A1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图47  VGG16 类别激活可视化结果</w:t>
      </w:r>
    </w:p>
    <w:p w14:paraId="456C8778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  电力负荷预测中的特征工程</w:t>
      </w:r>
    </w:p>
    <w:p w14:paraId="0A400A68">
      <w:pPr>
        <w:rPr>
          <w:rFonts w:hint="eastAsia"/>
          <w:lang w:val="en-US" w:eastAsia="zh-CN"/>
        </w:rPr>
      </w:pPr>
    </w:p>
    <w:p w14:paraId="6B3F2A49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9.1  基线特征模型</w:t>
      </w:r>
    </w:p>
    <w:p w14:paraId="3E4E8C5F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运行代码结果</w:t>
      </w:r>
    </w:p>
    <w:p w14:paraId="26E4C5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6D84BB1">
      <w:pPr>
        <w:spacing w:before="60" w:after="40"/>
        <w:jc w:val="center"/>
        <w:keepNext w:val="1"/>
        <w:keepLines w:val="1"/>
      </w:pPr>
      <w:bookmarkStart w:id="1048" w:name="Figure_4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63607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6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8"/>
    </w:p>
    <w:p w14:paraId="03170942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图48  基线特征模型的预测结果</w:t>
      </w:r>
    </w:p>
    <w:p w14:paraId="40E15CE2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9.2  人工构造滞后与统计特征</w:t>
      </w:r>
    </w:p>
    <w:p w14:paraId="4BE7EBA2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代码运行结果</w:t>
      </w:r>
    </w:p>
    <w:p w14:paraId="547CDF15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4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64DC3D04">
      <w:pPr>
        <w:spacing w:before="60" w:after="40"/>
        <w:jc w:val="center"/>
        <w:keepNext w:val="1"/>
        <w:keepLines w:val="1"/>
      </w:pPr>
      <w:bookmarkStart w:id="1049" w:name="Figure_4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448694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4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9"/>
    </w:p>
    <w:p w14:paraId="1134AA1C">
      <w:pPr>
        <w:pStyle w:val="34"/>
        <w:spacing w:before="40" w:after="120" w:line="240" w:lineRule="auto"/>
        <w:jc w:val="center"/>
        <w:rPr>
          <w:rFonts w:ascii="Times New Roman" w:hAnsi="Times New Roman" w:eastAsia="宋体"/>
          <w:sz w:val="21"/>
        </w:rPr>
        <w:keepLines w:val="1"/>
      </w:pPr>
      <w:r>
        <w:rPr>
          <w:rFonts w:ascii="Times New Roman" w:hAnsi="Times New Roman" w:eastAsia="宋体"/>
          <w:color w:val="000000"/>
          <w:sz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070F91B2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bookmarkStart w:id="1050" w:name="Figure_5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740256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4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0"/>
    </w:p>
    <w:p w14:paraId="1AC6769D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基线模型未引入历史负荷特征，仅采用月份、星期、季节、是否周末日历特征，由</w:t>
      </w:r>
      <w:hyperlink w:anchor="Figure_4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图48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可得测试集指标：RMSE=1.0341，MAE=0.9522。在保持实验条件一致的前提下，引入滞后负荷、滑动均值、负荷差值等时序特征后，由</w:t>
      </w:r>
      <w:hyperlink w:anchor="Figure_4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图49</w:t>
        </w:r>
      </w:hyperlink>
      <w:r>
        <w:rPr>
          <w:rFonts w:ascii="Times New Roman" w:hAnsi="Times New Roman" w:eastAsia="宋体"/>
          <w:color w:val="000000"/>
          <w:sz w:val="24"/>
        </w:rPr>
        <w:t xml:space="preserve">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>
      <w:r>
        <w:rPr>
          <w:rFonts w:ascii="Times New Roman" w:hAnsi="Times New Roman" w:eastAsia="宋体"/>
          <w:color w:val="000000"/>
          <w:sz w:val="24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2F14A903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  问题分析与解决方案</w:t>
      </w:r>
    </w:p>
    <w:p w14:paraId="68D4BAD9">
      <w:pPr>
        <w:pStyle w:val="33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9.3.1  缺少 pandas</w:t>
      </w:r>
    </w:p>
    <w:p w14:paraId="3ABE64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8897BD2">
      <w:pPr>
        <w:spacing w:before="60" w:after="40"/>
        <w:jc w:val="center"/>
        <w:keepNext w:val="1"/>
        <w:keepLines w:val="1"/>
      </w:pPr>
      <w:bookmarkStart w:id="1051" w:name="Figure_5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35663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3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1"/>
    </w:p>
    <w:p w14:paraId="1EDCA3E3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AB44958">
      <w:pPr>
        <w:spacing w:before="60" w:after="40"/>
        <w:jc w:val="center"/>
        <w:keepNext w:val="1"/>
        <w:keepLines w:val="1"/>
      </w:pPr>
      <w:bookmarkStart w:id="1052" w:name="Figure_5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346865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34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2"/>
    </w:p>
    <w:p w14:paraId="12CF904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图52  pandas 安装结果</w:t>
      </w:r>
    </w:p>
    <w:p w14:paraId="2E6A2514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9.3.2  缺少 scikit-learn</w:t>
      </w:r>
    </w:p>
    <w:p w14:paraId="43CF512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3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图53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7E0EB4F">
      <w:pPr>
        <w:spacing w:before="60" w:after="40"/>
        <w:jc w:val="center"/>
        <w:keepNext w:val="1"/>
        <w:keepLines w:val="1"/>
      </w:pPr>
      <w:bookmarkStart w:id="1053" w:name="Figure_5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743998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4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3"/>
    </w:p>
    <w:p w14:paraId="13DA1064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4C2EC1BA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4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图54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CD102B3">
      <w:pPr>
        <w:spacing w:before="60" w:after="40"/>
        <w:jc w:val="center"/>
        <w:keepNext w:val="1"/>
        <w:keepLines w:val="1"/>
      </w:pPr>
      <w:bookmarkStart w:id="1054" w:name="Figure_5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819303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1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4"/>
    </w:p>
    <w:p w14:paraId="66B1FA95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图54  scikit-learn 安装结果</w:t>
      </w:r>
    </w:p>
    <w:p w14:paraId="17E113E6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9.3.3  缺少 openpyxl</w:t>
      </w:r>
    </w:p>
    <w:p w14:paraId="40733F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5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图55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18A8A67">
      <w:pPr>
        <w:spacing w:before="60" w:after="40"/>
        <w:jc w:val="center"/>
        <w:keepNext w:val="1"/>
        <w:keepLines w:val="1"/>
      </w:pPr>
      <w:bookmarkStart w:id="1055" w:name="Figure_5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023484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0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5"/>
    </w:p>
    <w:p w14:paraId="59F0C07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6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图56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1EDE2672">
      <w:pPr>
        <w:spacing w:before="60" w:after="40"/>
        <w:jc w:val="center"/>
        <w:keepNext w:val="1"/>
        <w:keepLines w:val="1"/>
      </w:pPr>
      <w:bookmarkStart w:id="1056" w:name="Figure_5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110163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1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6"/>
    </w:p>
    <w:p w14:paraId="718A717E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7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图57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A46B80C">
      <w:pPr>
        <w:spacing w:before="60" w:after="40"/>
        <w:jc w:val="center"/>
        <w:keepNext w:val="1"/>
        <w:keepLines w:val="1"/>
      </w:pPr>
      <w:bookmarkStart w:id="1057" w:name="Figure_5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889722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8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7"/>
    </w:p>
    <w:p w14:paraId="7390F6B1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图57  TabNet 特征重要性结果</w:t>
      </w:r>
    </w:p>
    <w:p w14:paraId="4419D39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8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图58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4F1F9117">
      <w:pPr>
        <w:spacing w:before="60" w:after="40"/>
        <w:jc w:val="center"/>
        <w:keepNext w:val="1"/>
        <w:keepLines w:val="1"/>
      </w:pPr>
      <w:bookmarkStart w:id="1058" w:name="Figure_5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74676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8"/>
    </w:p>
    <w:p w14:paraId="763761AD">
      <w:pPr>
        <w:pStyle w:val="34"/>
        <w:spacing w:before="40" w:after="120" w:line="240" w:lineRule="auto"/>
        <w:jc w:val="center"/>
        <w:rPr>
          <w:rFonts w:ascii="Times New Roman" w:hAnsi="Times New Roman" w:eastAsia="宋体"/>
          <w:sz w:val="21"/>
        </w:rPr>
        <w:keepLines w:val="1"/>
      </w:pPr>
      <w:r>
        <w:rPr>
          <w:rFonts w:ascii="Times New Roman" w:hAnsi="Times New Roman" w:eastAsia="宋体"/>
          <w:color w:val="000000"/>
          <w:sz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59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图59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3E79B4FA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bookmarkStart w:id="1059" w:name="Figure_5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267556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6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9"/>
    </w:p>
    <w:p w14:paraId="23B78169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0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图60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BDC3E2A">
      <w:pPr>
        <w:pStyle w:val="34"/>
        <w:spacing w:before="60" w:after="40" w:line="240" w:lineRule="auto"/>
        <w:jc w:val="center"/>
        <w:rPr>
          <w:rFonts w:ascii="Times New Roman" w:hAnsi="Times New Roman" w:eastAsia="宋体"/>
          <w:sz w:val="21"/>
        </w:rPr>
        <w:keepNext w:val="1"/>
        <w:keepLines w:val="1"/>
      </w:pPr>
      <w:bookmarkStart w:id="1060" w:name="Figure_6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2102531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0"/>
    </w:p>
    <w:p w14:paraId="59BB51A0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11.1  FT-Transformer 电力负荷预测结果</w:t>
      </w:r>
    </w:p>
    <w:p w14:paraId="56DEC1A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1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图61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2868FD7C">
      <w:pPr>
        <w:numPr>
          <w:ilvl w:val="0"/>
          <w:numId w:val="0"/>
        </w:numPr>
        <w:spacing w:before="60" w:after="40"/>
        <w:jc w:val="center"/>
        <w:keepNext w:val="1"/>
        <w:keepLines w:val="1"/>
      </w:pPr>
      <w:bookmarkStart w:id="1061" w:name="Figure_6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277966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7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1"/>
    </w:p>
    <w:p w14:paraId="419861EF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图61  FT-Transformer 训练过程</w:t>
      </w:r>
    </w:p>
    <w:p w14:paraId="2ABC36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相关操作或实验结果如</w:t>
      </w:r>
      <w:hyperlink w:anchor="Figure_62" w:history="1">
        <w:r>
          <w:rPr>
            <w:rFonts w:ascii="Times New Roman" w:hAnsi="Times New Roman" w:eastAsia="宋体"/>
            <w:color w:val="0563C1"/>
            <w:sz w:val="24"/>
            <w:u w:val="single"/>
          </w:rPr>
          <w:t>图62</w:t>
        </w:r>
      </w:hyperlink>
      <w:r>
        <w:rPr>
          <w:rFonts w:ascii="Times New Roman" w:hAnsi="Times New Roman" w:eastAsia="宋体"/>
          <w:color w:val="000000"/>
          <w:sz w:val="24"/>
        </w:rPr>
        <w:t>所示。</w:t>
      </w:r>
    </w:p>
    <w:p w14:paraId="51FE84D1">
      <w:pPr>
        <w:spacing w:before="60" w:after="40"/>
        <w:jc w:val="center"/>
        <w:keepNext w:val="1"/>
        <w:keepLines w:val="1"/>
      </w:pPr>
      <w:bookmarkStart w:id="1062" w:name="Figure_6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80000" cy="1574676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2"/>
    </w:p>
    <w:p w14:paraId="3FEA8B8B">
      <w:pPr>
        <w:pStyle w:val="34"/>
        <w:spacing w:before="40" w:after="120" w:line="240" w:lineRule="auto"/>
        <w:jc w:val="center"/>
        <w:keepLines w:val="1"/>
      </w:pPr>
      <w:r>
        <w:rPr>
          <w:rFonts w:ascii="Times New Roman" w:hAnsi="Times New Roman" w:eastAsia="宋体"/>
          <w:color w:val="000000"/>
          <w:sz w:val="21"/>
        </w:rPr>
        <w:t>图62  FT-Transformer 真实值与预测值对比</w:t>
      </w:r>
    </w:p>
    <w:p>
      <w:pPr>
        <w:pStyle w:val="3"/>
      </w:pPr>
      <w:r>
        <w:rPr>
          <w:rFonts w:ascii="Times New Roman" w:hAnsi="Times New Roman" w:eastAsia="宋体"/>
          <w:b/>
          <w:color w:val="000000"/>
          <w:sz w:val="24"/>
        </w:rPr>
        <w:t>11.2  统一条件下的模型比较</w:t>
      </w:r>
    </w:p>
    <w:p>
      <w:r>
        <w:rPr>
          <w:rFonts w:ascii="Times New Roman" w:hAnsi="Times New Roman" w:eastAsia="宋体"/>
          <w:color w:val="000000"/>
          <w:sz w:val="24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>
      <w:pPr>
        <w:spacing w:line="360" w:lineRule="auto" w:before="0" w:after="0"/>
        <w:ind w:firstLine="480"/>
      </w:pPr>
      <w:r>
        <w:t>三种电力负荷预测模型的量化结果见</w:t>
      </w:r>
      <w:hyperlink w:anchor="Table_5" w:history="1">
        <w:r>
          <w:rPr>
            <w:color w:val="0563C1"/>
            <w:u w:val="single"/>
          </w:rPr>
          <w:t>表5</w:t>
        </w:r>
      </w:hyperlink>
      <w:r>
        <w:t>。</w:t>
      </w:r>
    </w:p>
    <w:p>
      <w:pPr>
        <w:spacing w:line="240" w:lineRule="auto" w:before="60" w:after="120"/>
        <w:jc w:val="center"/>
      </w:pPr>
      <w:bookmarkStart w:id="2005" w:name="Table_5"/>
      <w:r>
        <w:t>表5  MLP、TabNet与FT-Transformer结果对比</w:t>
      </w:r>
      <w:bookmarkEnd w:id="2005"/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1302"/>
        <w:gridCol w:w="1616"/>
        <w:gridCol w:w="1220"/>
        <w:gridCol w:w="1263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训练时间（s）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RMSE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13231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0.2389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0.4071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0.3267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0.4785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599425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96.94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0.2331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0.4061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</w:pPr>
      <w:r>
        <w:t>由</w:t>
      </w:r>
      <w:hyperlink w:anchor="Table_5" w:history="1">
        <w:r>
          <w:rPr>
            <w:color w:val="0563C1"/>
            <w:u w:val="single"/>
          </w:rPr>
          <w:t>表5</w:t>
        </w:r>
      </w:hyperlink>
      <w:r>
        <w:t>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4CDF65CB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</w:p>
    <w:p w14:paraId="4CDF337E">
      <w:pPr>
        <w:pStyle w:val="2"/>
        <w:spacing w:before="240" w:after="240" w:line="240" w:lineRule="auto"/>
      </w:pPr>
      <w:r>
        <w:rPr>
          <w:rFonts w:ascii="Times New Roman" w:hAnsi="Times New Roman" w:eastAsia="宋体"/>
          <w:b/>
          <w:color w:val="000000"/>
          <w:sz w:val="24"/>
        </w:rPr>
        <w:t>12  AI 辅助使用声明</w:t>
      </w:r>
    </w:p>
    <w:p w14:paraId="02472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A7321DD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181</Words>
  <Characters>313</Characters>
  <Lines>3</Lines>
  <Paragraphs>1</Paragraphs>
  <TotalTime>2</TotalTime>
  <ScaleCrop>false</ScaleCrop>
  <LinksUpToDate>false</LinksUpToDate>
  <CharactersWithSpaces>346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2026-10-26T05:36:29Z</dcterms:modified>
  <dc:subject>课程实验结果、问题分析与模型比较</dc:subject>
  <dc:title>《深度学习案例与实践》结课报告（课程要求核对修订版）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