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宋体" w:cs="Times New Roman"/>
          <w:b/>
          <w:color w:val="000000"/>
          <w:sz w:val="2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宋体"/>
          <w:color w:val="000000"/>
          <w:sz w:val="24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31E63A7">
      <w:pPr>
        <w:spacing w:before="60" w:after="40"/>
        <w:jc w:val="center"/>
        <w:keepNext w:val="1"/>
        <w:keepLines w:val="1"/>
      </w:pPr>
      <w:bookmarkStart w:id="1001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25268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1"/>
    </w:p>
    <w:p w14:paraId="66DACDE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xxx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FCC7614">
      <w:pPr>
        <w:spacing w:before="60" w:after="40"/>
        <w:jc w:val="center"/>
        <w:keepNext w:val="1"/>
        <w:keepLines w:val="1"/>
      </w:pPr>
      <w:bookmarkStart w:id="1002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89678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2"/>
    </w:p>
    <w:p w14:paraId="31143EA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0318F5A">
      <w:pPr>
        <w:spacing w:before="60" w:after="40"/>
        <w:jc w:val="center"/>
        <w:keepNext w:val="1"/>
        <w:keepLines w:val="1"/>
      </w:pPr>
      <w:bookmarkStart w:id="1003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7362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3"/>
    </w:p>
    <w:p w14:paraId="2F2394B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2B81B27">
      <w:pPr>
        <w:spacing w:before="60" w:after="40"/>
        <w:jc w:val="center"/>
        <w:keepNext w:val="1"/>
        <w:keepLines w:val="1"/>
      </w:pPr>
      <w:bookmarkStart w:id="1004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59732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4"/>
    </w:p>
    <w:p w14:paraId="56BAEAA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050A78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5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38427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5"/>
    </w:p>
    <w:p w14:paraId="54F8E83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28E0DE0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6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62135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6"/>
    </w:p>
    <w:p w14:paraId="48314FB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BE664E7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7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1510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7"/>
    </w:p>
    <w:p w14:paraId="3E42EAE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22E8ED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8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69734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8"/>
    </w:p>
    <w:p w14:paraId="5E2EF31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5EA19C">
      <w:pPr>
        <w:numPr>
          <w:ilvl w:val="0"/>
          <w:numId w:val="0"/>
        </w:numPr>
        <w:bidi w:val="0"/>
        <w:spacing w:before="60" w:after="40"/>
        <w:jc w:val="center"/>
        <w:rPr>
          <w:rFonts w:hint="default"/>
          <w:lang w:val="en-US" w:eastAsia="zh-CN"/>
        </w:rPr>
        <w:keepNext w:val="1"/>
        <w:keepLines w:val="1"/>
      </w:pPr>
      <w:bookmarkStart w:id="1009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89811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9"/>
    </w:p>
    <w:p w14:paraId="5671A43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07B963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0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5416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0"/>
    </w:p>
    <w:p w14:paraId="16C5A77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CF9D2D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1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13118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1"/>
    </w:p>
    <w:p w14:paraId="15BC6C3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color w:val="000000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C3619C7">
      <w:pPr>
        <w:numPr>
          <w:ilvl w:val="0"/>
          <w:numId w:val="0"/>
        </w:numPr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1012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432286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2"/>
    </w:p>
    <w:p w14:paraId="6AE9CE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CBE3A1A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3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35328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3"/>
    </w:p>
    <w:p w14:paraId="41968C67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648FEFF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4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76461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7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4"/>
    </w:p>
    <w:p w14:paraId="7948346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隐藏层宽度实验的量化结果见表1。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表1  隐藏层宽度对准确率和损失的影响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color w:val="000000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color w:val="000000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8BDAF13">
      <w:pPr>
        <w:spacing w:before="60" w:after="40"/>
        <w:jc w:val="center"/>
        <w:keepNext w:val="1"/>
        <w:keepLines w:val="1"/>
      </w:pPr>
      <w:bookmarkStart w:id="10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93714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5"/>
    </w:p>
    <w:p w14:paraId="722BD3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8CE5F48">
      <w:pPr>
        <w:spacing w:before="60" w:after="40"/>
        <w:jc w:val="center"/>
        <w:keepNext w:val="1"/>
        <w:keepLines w:val="1"/>
      </w:pPr>
      <w:bookmarkStart w:id="10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710954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6"/>
    </w:p>
    <w:p w14:paraId="2DB721E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 12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所示，两种优化器量化对比结果如表 3 所示。</w:t>
      </w:r>
    </w:p>
    <w:p w14:paraId="2617B767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&lt;center&gt;</w:t>
      </w:r>
      <w:hyperlink w:anchor="Figure_12" w:history="1">
        <w:r>
          <w:rPr>
            <w:rFonts w:ascii="Times New Roman" w:hAnsi="Times New Roman" w:eastAsia="宋体" w:cs="宋体"/>
            <w:color w:val="0563C1"/>
            <w:sz w:val="24"/>
            <w:szCs w:val="24"/>
            <w:u w:val="single"/>
          </w:rPr>
          <w:t>图12</w:t>
        </w:r>
      </w:hyperlink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SGD优化器训练日志&lt;/center&gt;&lt;center&gt;表3 Adam与SGD优化器实验量化对比&lt;/center&gt;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Adam与SGD优化器的量化对比结果见表2。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表2  Adam与SGD优化器对比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1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 12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可见，SGD 初始损失为 2.3464，损失整体下降趋势平缓，下降速度慢于 Adam。结合表 3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BD99C13">
      <w:pPr>
        <w:spacing w:before="60" w:after="40"/>
        <w:jc w:val="center"/>
        <w:keepNext w:val="1"/>
        <w:keepLines w:val="1"/>
      </w:pPr>
      <w:bookmarkStart w:id="1017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17869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7"/>
    </w:p>
    <w:p w14:paraId="207C253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color w:val="000000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A95C7C">
      <w:pPr>
        <w:spacing w:before="60" w:after="40"/>
        <w:jc w:val="center"/>
        <w:keepNext w:val="1"/>
        <w:keepLines w:val="1"/>
      </w:pPr>
      <w:bookmarkStart w:id="1018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2129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8"/>
    </w:p>
    <w:p w14:paraId="790FC82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宋体"/>
          <w:b/>
          <w:color w:val="000000"/>
          <w:sz w:val="2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90C35A4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19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90731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9"/>
    </w:p>
    <w:p w14:paraId="7B858F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D05636F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0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4796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4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0"/>
    </w:p>
    <w:p w14:paraId="689106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存储优化器内部状态，epoch 记录当前训练轮次，保证恢复训练时模型、优化器状态与训练进度完整承接。 由</w:t>
      </w:r>
      <w:hyperlink w:anchor="Figure_20" w:history="1">
        <w:r>
          <w:rPr>
            <w:rFonts w:ascii="Times New Roman" w:hAnsi="Times New Roman" w:eastAsia="宋体" w:cs="宋体"/>
            <w:color w:val="0563C1"/>
            <w:sz w:val="24"/>
            <w:szCs w:val="24"/>
            <w:u w:val="single"/>
          </w:rPr>
          <w:t>图 20</w:t>
        </w:r>
      </w:hyperlink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7BB485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1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18703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1"/>
    </w:p>
    <w:p w14:paraId="4EC5E49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0155732">
      <w:pPr>
        <w:spacing w:before="60" w:after="40"/>
        <w:jc w:val="center"/>
        <w:keepNext w:val="1"/>
        <w:keepLines w:val="1"/>
      </w:pPr>
      <w:bookmarkStart w:id="1022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6642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2"/>
    </w:p>
    <w:p w14:paraId="6A7B28D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D5B07FC">
      <w:pPr>
        <w:numPr>
          <w:ilvl w:val="0"/>
          <w:numId w:val="0"/>
        </w:numPr>
        <w:bidi w:val="0"/>
        <w:spacing w:before="60" w:after="40"/>
        <w:jc w:val="center"/>
        <w:rPr>
          <w:rFonts w:ascii="宋体" w:hAnsi="宋体" w:eastAsia="宋体" w:cs="宋体"/>
          <w:sz w:val="24"/>
          <w:szCs w:val="24"/>
        </w:rPr>
        <w:keepNext w:val="1"/>
        <w:keepLines w:val="1"/>
      </w:pPr>
      <w:bookmarkStart w:id="1023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1924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3"/>
    </w:p>
    <w:p w14:paraId="3D0BFC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F9FD5D8">
      <w:pPr>
        <w:spacing w:before="60" w:after="40"/>
        <w:jc w:val="center"/>
        <w:keepNext w:val="1"/>
        <w:keepLines w:val="1"/>
      </w:pPr>
      <w:bookmarkStart w:id="1024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201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4"/>
    </w:p>
    <w:p w14:paraId="732570C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CEE3F8">
      <w:pPr>
        <w:spacing w:before="60" w:after="40"/>
        <w:jc w:val="center"/>
        <w:keepNext w:val="1"/>
        <w:keepLines w:val="1"/>
      </w:pPr>
      <w:bookmarkStart w:id="1025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1458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5"/>
    </w:p>
    <w:p w14:paraId="6AFD079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75EDCF">
      <w:pPr>
        <w:spacing w:before="60" w:after="40"/>
        <w:jc w:val="center"/>
        <w:keepNext w:val="1"/>
        <w:keepLines w:val="1"/>
      </w:pPr>
      <w:bookmarkStart w:id="1026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062526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6"/>
    </w:p>
    <w:p w14:paraId="6465290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F9A5442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7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78112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7"/>
    </w:p>
    <w:p w14:paraId="12E34DD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5AC3084">
      <w:pPr>
        <w:spacing w:before="60" w:after="40"/>
        <w:jc w:val="center"/>
        <w:keepNext w:val="1"/>
        <w:keepLines w:val="1"/>
      </w:pPr>
      <w:bookmarkStart w:id="1028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1977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8"/>
    </w:p>
    <w:p w14:paraId="7AB14C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宋体"/>
          <w:b/>
          <w:color w:val="000000"/>
          <w:sz w:val="24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5B77D60">
      <w:pPr>
        <w:pStyle w:val="4"/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1029" w:name="Figure_29"/>
      <w:bookmarkStart w:id="0" w:name="_GoBack"/>
      <w:bookmarkEnd w:id="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974832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29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0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553241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53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0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1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327894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7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1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2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2046768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2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hyperlink w:anchor="Figure_2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图29</w:t>
        </w:r>
      </w:hyperlink>
      <w:r>
        <w:rPr>
          <w:rFonts w:ascii="Times New Roman" w:hAnsi="Times New Roman" w:eastAsia="宋体"/>
          <w:color w:val="000000"/>
          <w:sz w:val="24"/>
        </w:rPr>
        <w:t>和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测试集混淆矩阵如</w:t>
      </w:r>
      <w:hyperlink w:anchor="Figure_3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图31</w:t>
        </w:r>
      </w:hyperlink>
      <w:r>
        <w:rPr>
          <w:rFonts w:ascii="Times New Roman" w:hAnsi="Times New Roman" w:eastAsia="宋体"/>
          <w:color w:val="000000"/>
          <w:sz w:val="24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预测样例如</w:t>
      </w:r>
      <w:hyperlink w:anchor="Figure_3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图32</w:t>
        </w:r>
      </w:hyperlink>
      <w:r>
        <w:rPr>
          <w:rFonts w:ascii="Times New Roman" w:hAnsi="Times New Roman" w:eastAsia="宋体"/>
          <w:color w:val="000000"/>
          <w:sz w:val="24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猫狗识别实验的主要量化结果见表3。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color w:val="000000"/>
          <w:sz w:val="21"/>
        </w:rPr>
        <w:t>表3  猫狗识别实验结果汇总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04518E0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33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78448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3"/>
    </w:p>
    <w:p w14:paraId="58A6A8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43251A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34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51777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4"/>
    </w:p>
    <w:p w14:paraId="581AD7B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EC60258">
      <w:pPr>
        <w:spacing w:before="60" w:after="40"/>
        <w:jc w:val="center"/>
        <w:keepNext w:val="1"/>
        <w:keepLines w:val="1"/>
      </w:pPr>
      <w:bookmarkStart w:id="1035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4400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5"/>
    </w:p>
    <w:p w14:paraId="52797A5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DC2E09C">
      <w:pPr>
        <w:spacing w:before="60" w:after="40"/>
        <w:jc w:val="center"/>
        <w:keepNext w:val="1"/>
        <w:keepLines w:val="1"/>
      </w:pPr>
      <w:bookmarkStart w:id="1036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45651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6"/>
    </w:p>
    <w:p w14:paraId="2292D12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E8B7BC">
      <w:pPr>
        <w:spacing w:before="60" w:after="40"/>
        <w:jc w:val="center"/>
        <w:keepNext w:val="1"/>
        <w:keepLines w:val="1"/>
      </w:pPr>
      <w:bookmarkStart w:id="1037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4437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7"/>
    </w:p>
    <w:p w14:paraId="6AF1D09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图37  VGG16猫狗识别运行结果</w:t>
      </w:r>
    </w:p>
    <w:p w14:paraId="419A8115">
      <w:pPr>
        <w:keepNext w:val="0"/>
        <w:keepLines w:val="0"/>
        <w:widowControl/>
        <w:suppressLineNumbers w:val="0"/>
      </w:pPr>
      <w:r>
        <w:rPr>
          <w:rFonts w:ascii="Times New Roman" w:hAnsi="Times New Roman" w:eastAsia="宋体"/>
          <w:color w:val="000000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宋体"/>
          <w:b/>
          <w:color w:val="000000"/>
          <w:sz w:val="24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hyperlink w:anchor="Figure_3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图35</w:t>
        </w:r>
      </w:hyperlink>
      <w:r>
        <w:rPr>
          <w:rFonts w:ascii="Times New Roman" w:hAnsi="Times New Roman" w:eastAsia="宋体"/>
          <w:color w:val="000000"/>
          <w:sz w:val="24"/>
        </w:rPr>
        <w:t>、</w:t>
      </w:r>
      <w:hyperlink w:anchor="Figure_3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图36</w:t>
        </w:r>
      </w:hyperlink>
      <w:r>
        <w:rPr>
          <w:rFonts w:ascii="Times New Roman" w:hAnsi="Times New Roman" w:eastAsia="宋体"/>
          <w:color w:val="000000"/>
          <w:sz w:val="24"/>
        </w:rPr>
        <w:t>和</w:t>
      </w:r>
      <w:hyperlink w:anchor="Figure_3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78CCC78">
      <w:pPr>
        <w:spacing w:before="80" w:after="12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>
      <w:r>
        <w:t>普通CNN与VGG16的量化对比结果见表4。</w:t>
      </w:r>
    </w:p>
    <w:p>
      <w:pPr>
        <w:jc w:val="center"/>
      </w:pPr>
      <w:r>
        <w:t>表4  普通CNN与VGG16迁移学习结果对比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可训练参数量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训练轮数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测试损失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普通CNN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VGG16迁移学习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14,715,714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1,026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762.84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0.1180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0CD9137">
      <w:pPr>
        <w:spacing w:before="60" w:after="40"/>
        <w:jc w:val="center"/>
        <w:keepNext w:val="1"/>
        <w:keepLines w:val="1"/>
      </w:pPr>
      <w:bookmarkStart w:id="1038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8"/>
    </w:p>
    <w:p w14:paraId="5F7059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34B1584">
      <w:pPr>
        <w:spacing w:before="60" w:after="40"/>
        <w:jc w:val="center"/>
        <w:keepNext w:val="1"/>
        <w:keepLines w:val="1"/>
      </w:pPr>
      <w:bookmarkStart w:id="1039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9"/>
    </w:p>
    <w:p w14:paraId="310CFD6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36051E1">
      <w:pPr>
        <w:spacing w:before="60" w:after="40"/>
        <w:jc w:val="center"/>
        <w:keepNext w:val="1"/>
        <w:keepLines w:val="1"/>
      </w:pPr>
      <w:bookmarkStart w:id="1040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0"/>
    </w:p>
    <w:p w14:paraId="45BE360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8A985F5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1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1"/>
    </w:p>
    <w:p w14:paraId="0D08C8C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401E1AA">
      <w:pPr>
        <w:spacing w:before="60" w:after="40"/>
        <w:jc w:val="center"/>
        <w:keepNext w:val="1"/>
        <w:keepLines w:val="1"/>
      </w:pPr>
      <w:bookmarkStart w:id="1042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2"/>
    </w:p>
    <w:p w14:paraId="27A3C7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F85473D">
      <w:pPr>
        <w:spacing w:before="60" w:after="40"/>
        <w:jc w:val="center"/>
        <w:keepNext w:val="1"/>
        <w:keepLines w:val="1"/>
      </w:pPr>
      <w:bookmarkStart w:id="1043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3"/>
    </w:p>
    <w:p w14:paraId="2520CAA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73841DE">
      <w:pPr>
        <w:spacing w:before="60" w:after="40"/>
        <w:jc w:val="center"/>
        <w:keepNext w:val="1"/>
        <w:keepLines w:val="1"/>
      </w:pPr>
      <w:bookmarkStart w:id="1044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4"/>
    </w:p>
    <w:p w14:paraId="6B6B9F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6219094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5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5"/>
    </w:p>
    <w:p w14:paraId="37EAF4C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F630716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6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6"/>
    </w:p>
    <w:p w14:paraId="7588FD0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123D05F">
      <w:pPr>
        <w:spacing w:before="60" w:after="40"/>
        <w:jc w:val="center"/>
        <w:keepNext w:val="1"/>
        <w:keepLines w:val="1"/>
      </w:pPr>
      <w:bookmarkStart w:id="1047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780000" cy="283486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7"/>
    </w:p>
    <w:p w14:paraId="22BF1A1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6D84BB1">
      <w:pPr>
        <w:spacing w:before="60" w:after="40"/>
        <w:jc w:val="center"/>
        <w:keepNext w:val="1"/>
        <w:keepLines w:val="1"/>
      </w:pPr>
      <w:bookmarkStart w:id="1048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6360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6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8"/>
    </w:p>
    <w:p w14:paraId="0317094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4DC3D04">
      <w:pPr>
        <w:spacing w:before="60" w:after="40"/>
        <w:jc w:val="center"/>
        <w:keepNext w:val="1"/>
        <w:keepLines w:val="1"/>
      </w:pPr>
      <w:bookmarkStart w:id="1049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48694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9"/>
    </w:p>
    <w:p w14:paraId="1134AA1C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70F91B2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50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740256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0"/>
    </w:p>
    <w:p w14:paraId="1AC6769D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基线模型未引入历史负荷特征，仅采用月份、星期、季节、是否周末日历特征，由</w:t>
      </w:r>
      <w:hyperlink w:anchor="Figure_4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图48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可得测试集指标：RMSE=1.0341，MAE=0.9522。在保持实验条件一致的前提下，引入滞后负荷、滑动均值、负荷差值等时序特征后，由</w:t>
      </w:r>
      <w:hyperlink w:anchor="Figure_4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图49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>
      <w:r>
        <w:rPr>
          <w:rFonts w:ascii="Times New Roman" w:hAnsi="Times New Roman" w:eastAsia="宋体"/>
          <w:color w:val="000000"/>
          <w:sz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8897BD2">
      <w:pPr>
        <w:spacing w:before="60" w:after="40"/>
        <w:jc w:val="center"/>
        <w:keepNext w:val="1"/>
        <w:keepLines w:val="1"/>
      </w:pPr>
      <w:bookmarkStart w:id="1051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35663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1"/>
    </w:p>
    <w:p w14:paraId="1EDCA3E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AB44958">
      <w:pPr>
        <w:spacing w:before="60" w:after="40"/>
        <w:jc w:val="center"/>
        <w:keepNext w:val="1"/>
        <w:keepLines w:val="1"/>
      </w:pPr>
      <w:bookmarkStart w:id="1052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34686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4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2"/>
    </w:p>
    <w:p w14:paraId="12CF904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7E0EB4F">
      <w:pPr>
        <w:spacing w:before="60" w:after="40"/>
        <w:jc w:val="center"/>
        <w:keepNext w:val="1"/>
        <w:keepLines w:val="1"/>
      </w:pPr>
      <w:bookmarkStart w:id="1053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43998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3"/>
    </w:p>
    <w:p w14:paraId="13DA106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D102B3">
      <w:pPr>
        <w:spacing w:before="60" w:after="40"/>
        <w:jc w:val="center"/>
        <w:keepNext w:val="1"/>
        <w:keepLines w:val="1"/>
      </w:pPr>
      <w:bookmarkStart w:id="1054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19303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4"/>
    </w:p>
    <w:p w14:paraId="66B1FA9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18A8A67">
      <w:pPr>
        <w:spacing w:before="60" w:after="40"/>
        <w:jc w:val="center"/>
        <w:keepNext w:val="1"/>
        <w:keepLines w:val="1"/>
      </w:pPr>
      <w:bookmarkStart w:id="1055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023484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5"/>
    </w:p>
    <w:p w14:paraId="59F0C0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EDE2672">
      <w:pPr>
        <w:spacing w:before="60" w:after="40"/>
        <w:jc w:val="center"/>
        <w:keepNext w:val="1"/>
        <w:keepLines w:val="1"/>
      </w:pPr>
      <w:bookmarkStart w:id="1056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10163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6"/>
    </w:p>
    <w:p w14:paraId="718A717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A46B80C">
      <w:pPr>
        <w:spacing w:before="60" w:after="40"/>
        <w:jc w:val="center"/>
        <w:keepNext w:val="1"/>
        <w:keepLines w:val="1"/>
      </w:pPr>
      <w:bookmarkStart w:id="1057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8972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8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7"/>
    </w:p>
    <w:p w14:paraId="7390F6B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F1F9117">
      <w:pPr>
        <w:spacing w:before="60" w:after="40"/>
        <w:jc w:val="center"/>
        <w:keepNext w:val="1"/>
        <w:keepLines w:val="1"/>
      </w:pPr>
      <w:bookmarkStart w:id="1058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8"/>
    </w:p>
    <w:p w14:paraId="763761AD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79B4F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59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67556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9"/>
    </w:p>
    <w:p w14:paraId="23B78169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BDC3E2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60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02531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0"/>
    </w:p>
    <w:p w14:paraId="59BB51A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868FD7C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61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77966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1"/>
    </w:p>
    <w:p w14:paraId="419861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1FE84D1">
      <w:pPr>
        <w:spacing w:before="60" w:after="40"/>
        <w:jc w:val="center"/>
        <w:keepNext w:val="1"/>
        <w:keepLines w:val="1"/>
      </w:pPr>
      <w:bookmarkStart w:id="1062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2"/>
    </w:p>
    <w:p w14:paraId="3FEA8B8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图62  FT-Transformer 真实值与预测值对比</w:t>
      </w:r>
    </w:p>
    <w:p>
      <w:pPr>
        <w:pStyle w:val="3"/>
      </w:pPr>
      <w:r>
        <w:rPr>
          <w:rFonts w:ascii="Times New Roman" w:hAnsi="Times New Roman" w:eastAsia="宋体"/>
          <w:b/>
          <w:color w:val="000000"/>
          <w:sz w:val="24"/>
        </w:rPr>
        <w:t>11.2  统一条件下的模型比较</w:t>
      </w:r>
    </w:p>
    <w:p>
      <w:r>
        <w:rPr>
          <w:rFonts w:ascii="Times New Roman" w:hAnsi="Times New Roman" w:eastAsia="宋体"/>
          <w:color w:val="000000"/>
          <w:sz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>
      <w:pPr>
        <w:spacing w:line="360" w:lineRule="auto" w:before="0" w:after="0"/>
        <w:ind w:firstLine="480"/>
      </w:pPr>
      <w:r>
        <w:t>三种电力负荷预测模型的量化结果见表5。</w:t>
      </w:r>
    </w:p>
    <w:p>
      <w:pPr>
        <w:spacing w:line="240" w:lineRule="auto" w:before="60" w:after="120"/>
        <w:jc w:val="center"/>
      </w:pPr>
      <w:r>
        <w:t>表5  MLP、TabNet与FT-Transformer结果对比</w:t>
      </w:r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0.2389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0.4071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0.2331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0.4061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</w:pPr>
      <w:r>
        <w:t>由表5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所有对照实验均已写出实际准确率、损失或误差指标。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猫狗CNN与VGG16使用同一数据集划分，并已给出参数量、训练时间、损失和准确率。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MLP、TabNet、FT-Transformer已给出参数量、训练时间、MAE、RMSE和R²。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☑ 时间序列数据按时间先后划分，标准化参数仅由训练集拟合，并已修正Delta_1目标泄漏。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color w:val="000000"/>
          <w:sz w:val="24"/>
        </w:rPr>
        <w:t>☑ 除封面个人信息外，所有待补充内容均已完成。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《深度学习案例与实践》结课报告（图号可点击版）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