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51505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系统架构：</w:t>
      </w:r>
    </w:p>
    <w:p w14:paraId="56C390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leftChars="0" w:hanging="360" w:firstLineChars="0"/>
      </w:pPr>
      <w:r>
        <w:rPr>
          <w:rFonts w:ascii="Symbol" w:hAnsi="Symbol" w:cs="Symbol" w:eastAsiaTheme="minorEastAsia"/>
          <w:kern w:val="2"/>
          <w:sz w:val="20"/>
          <w:szCs w:val="24"/>
          <w:lang w:val="en-US" w:eastAsia="zh-CN" w:bidi="ar-SA"/>
        </w:rPr>
        <w:t>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微服务架构：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基于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Spring Boot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构建后端服务，实现模块化、高内聚低耦合的服务。</w:t>
      </w:r>
    </w:p>
    <w:p w14:paraId="01E9B7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720" w:leftChars="0" w:hanging="360" w:firstLineChars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</w:pPr>
      <w:r>
        <w:rPr>
          <w:rFonts w:ascii="Symbol" w:hAnsi="Symbol" w:cs="Symbol" w:eastAsiaTheme="minorEastAsia"/>
          <w:kern w:val="2"/>
          <w:sz w:val="20"/>
          <w:szCs w:val="24"/>
          <w:lang w:val="en-US" w:eastAsia="zh-CN" w:bidi="ar-SA"/>
        </w:rPr>
        <w:t>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消息队列：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RocketMQ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用于服务间异步通信、解耦、削峰填谷，尤其适用于交易流程中的异步处理（例如，订单处理、资金结算通知）。</w:t>
      </w:r>
    </w:p>
    <w:p w14:paraId="0F80BE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720" w:leftChars="0" w:hanging="360" w:firstLineChars="0"/>
      </w:pPr>
      <w:r>
        <w:rPr>
          <w:rFonts w:ascii="Symbol" w:hAnsi="Symbol" w:cs="Symbol" w:eastAsiaTheme="minorEastAsia"/>
          <w:kern w:val="2"/>
          <w:sz w:val="20"/>
          <w:szCs w:val="24"/>
          <w:lang w:val="en-US" w:eastAsia="zh-CN" w:bidi="ar-SA"/>
        </w:rPr>
        <w:t>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前端框架：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Vue.js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用于构建交互式、响应式的用户界面，提供良好的用户体验。</w:t>
      </w:r>
    </w:p>
    <w:p w14:paraId="5DAE2569">
      <w:pPr>
        <w:ind w:firstLine="400" w:firstLineChars="20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</w:pPr>
      <w:r>
        <w:rPr>
          <w:rFonts w:ascii="Symbol" w:hAnsi="Symbol" w:cs="Symbol" w:eastAsiaTheme="minorEastAsia"/>
          <w:kern w:val="2"/>
          <w:sz w:val="20"/>
          <w:szCs w:val="24"/>
          <w:lang w:val="en-US" w:eastAsia="zh-CN" w:bidi="ar-SA"/>
        </w:rPr>
        <w:t></w:t>
      </w: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数据库：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MySQL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(关系型数据库)，负责存储所有核心业务数据</w:t>
      </w:r>
    </w:p>
    <w:p w14:paraId="3689BC13">
      <w:pPr>
        <w:keepNext w:val="0"/>
        <w:keepLines w:val="0"/>
        <w:widowControl/>
        <w:numPr>
          <w:numId w:val="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firstLine="420" w:firstLineChars="0"/>
      </w:pPr>
      <w:r>
        <w:rPr>
          <w:rFonts w:ascii="Symbol" w:hAnsi="Symbol" w:cs="Symbol" w:eastAsiaTheme="minorEastAsia"/>
          <w:kern w:val="2"/>
          <w:sz w:val="20"/>
          <w:szCs w:val="24"/>
          <w:lang w:val="en-US" w:eastAsia="zh-CN" w:bidi="ar-SA"/>
        </w:rPr>
        <w:t></w:t>
      </w: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缓存：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Redis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，作为高性能缓存层，主要用于：</w:t>
      </w:r>
    </w:p>
    <w:p w14:paraId="7FEBB11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80" w:leftChars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缓存频繁读取但更新不频繁的字典数据、配置信息。</w:t>
      </w:r>
    </w:p>
    <w:p w14:paraId="02FAD13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780" w:leftChars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缓存用户会话、登录凭证。</w:t>
      </w:r>
    </w:p>
    <w:p w14:paraId="1D49391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780" w:leftChars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存储短期、高并发的临时数据。</w:t>
      </w:r>
    </w:p>
    <w:p w14:paraId="5C6CCE8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780" w:leftChars="0" w:hanging="360" w:firstLineChars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布隆过滤器 (Bloom Filter)：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结合 Redis 实现，用于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快速判断某个数据是否存在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（例如，判断某个证件号码是否已注册，有效减少对数据库的查询压力），有效降低缓存穿透的风险。</w:t>
      </w:r>
    </w:p>
    <w:p w14:paraId="07F92E86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52" w:beforeAutospacing="0" w:after="126" w:afterAutospacing="0" w:line="15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3"/>
          <w:szCs w:val="2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3"/>
          <w:szCs w:val="23"/>
          <w:bdr w:val="single" w:color="E5E7EB" w:sz="2" w:space="0"/>
          <w:shd w:val="clear" w:fill="FFFFFF"/>
        </w:rPr>
        <w:t>1. 客户服务 (CustomerService)</w:t>
      </w:r>
    </w:p>
    <w:p w14:paraId="623C3D2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核心职责：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负责客户的开户、基本资料管理、资金账户管理、证券账户管理等核心客户信息生命周期管理。</w:t>
      </w:r>
    </w:p>
    <w:p w14:paraId="3E8A72D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数据库：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拥有自己的数据库（或至少管理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Customer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CapitalAccount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SecurityAccount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IdType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AssetAccountType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等表）。</w:t>
      </w:r>
    </w:p>
    <w:p w14:paraId="057D834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缓存：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使用 Redis 缓存客户基本信息、证件类型、账户类别等不常变动的字典数据。</w:t>
      </w:r>
    </w:p>
    <w:p w14:paraId="7672E132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对外接口 (与前端交互)：</w:t>
      </w:r>
    </w:p>
    <w:tbl>
      <w:tblPr>
        <w:tblW w:w="8792" w:type="dxa"/>
        <w:jc w:val="center"/>
        <w:tblCellSpacing w:w="15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6"/>
        <w:gridCol w:w="645"/>
        <w:gridCol w:w="1599"/>
        <w:gridCol w:w="2344"/>
        <w:gridCol w:w="1519"/>
        <w:gridCol w:w="1589"/>
      </w:tblGrid>
      <w:tr w14:paraId="47CA916C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051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BCA7E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</w:t>
            </w:r>
          </w:p>
        </w:tc>
        <w:tc>
          <w:tcPr>
            <w:tcW w:w="615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53772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HTTP方法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9D21C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路径</w:t>
            </w:r>
          </w:p>
        </w:tc>
        <w:tc>
          <w:tcPr>
            <w:tcW w:w="2314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4D04A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请求体</w:t>
            </w:r>
          </w:p>
          <w:p w14:paraId="74772EB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(RequestBody)</w:t>
            </w:r>
          </w:p>
        </w:tc>
        <w:tc>
          <w:tcPr>
            <w:tcW w:w="1489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DE196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响应体</w:t>
            </w:r>
          </w:p>
          <w:p w14:paraId="50D890E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(ResponseBody)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E05E2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B71BF7D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051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BB47D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开户</w:t>
            </w:r>
          </w:p>
        </w:tc>
        <w:tc>
          <w:tcPr>
            <w:tcW w:w="61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BA2DF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POST</w:t>
            </w:r>
          </w:p>
        </w:tc>
        <w:tc>
          <w:tcPr>
            <w:tcW w:w="1569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7BA2A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/api/customer/open</w:t>
            </w:r>
          </w:p>
        </w:tc>
        <w:tc>
          <w:tcPr>
            <w:tcW w:w="2314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2B07A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CustomerOpenRequest</w:t>
            </w: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(含客户名称、证件信息、资产账户类别等)</w:t>
            </w:r>
          </w:p>
        </w:tc>
        <w:tc>
          <w:tcPr>
            <w:tcW w:w="1489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2065D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CustomerOpenResponse</w:t>
            </w: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(含客户ID、资金账户ID、证券账户ID等)</w:t>
            </w:r>
          </w:p>
        </w:tc>
        <w:tc>
          <w:tcPr>
            <w:tcW w:w="15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D2698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录入客户开户资料，自动生成客户代码、资金账户、证券账户。</w:t>
            </w:r>
          </w:p>
        </w:tc>
      </w:tr>
      <w:tr w14:paraId="00EB52A7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051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F53F4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查询客户基本信息</w:t>
            </w:r>
          </w:p>
        </w:tc>
        <w:tc>
          <w:tcPr>
            <w:tcW w:w="61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45286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GET</w:t>
            </w:r>
          </w:p>
        </w:tc>
        <w:tc>
          <w:tcPr>
            <w:tcW w:w="1569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5DC35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/api/customer/{id}</w:t>
            </w:r>
          </w:p>
        </w:tc>
        <w:tc>
          <w:tcPr>
            <w:tcW w:w="2314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CB0AC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无</w:t>
            </w:r>
          </w:p>
        </w:tc>
        <w:tc>
          <w:tcPr>
            <w:tcW w:w="1489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7B91D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CustomerInfoResponse</w:t>
            </w:r>
          </w:p>
        </w:tc>
        <w:tc>
          <w:tcPr>
            <w:tcW w:w="15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65A4A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根据客户ID查询客户基本开户资料。</w:t>
            </w:r>
          </w:p>
        </w:tc>
      </w:tr>
      <w:tr w14:paraId="355D953D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051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C0039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更新客户资料</w:t>
            </w:r>
          </w:p>
        </w:tc>
        <w:tc>
          <w:tcPr>
            <w:tcW w:w="615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F9D74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PUT</w:t>
            </w:r>
          </w:p>
        </w:tc>
        <w:tc>
          <w:tcPr>
            <w:tcW w:w="1569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AF2B5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/api/customer/{id}</w:t>
            </w:r>
          </w:p>
        </w:tc>
        <w:tc>
          <w:tcPr>
            <w:tcW w:w="2314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9792C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CustomerUpdateRequest</w:t>
            </w:r>
          </w:p>
        </w:tc>
        <w:tc>
          <w:tcPr>
            <w:tcW w:w="1489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9F8D8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CustomerInfoResponse</w:t>
            </w:r>
          </w:p>
        </w:tc>
        <w:tc>
          <w:tcPr>
            <w:tcW w:w="1544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B9994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更新客户的非敏感资料。</w:t>
            </w:r>
          </w:p>
        </w:tc>
      </w:tr>
    </w:tbl>
    <w:p w14:paraId="05D6D080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与数据库交互：</w:t>
      </w:r>
    </w:p>
    <w:p w14:paraId="79FEAC9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创建客户：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插入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Customer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表，根据规则生成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customer_id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。</w:t>
      </w:r>
    </w:p>
    <w:p w14:paraId="142A8E9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创建资金账户：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插入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CapitalAccount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表，根据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AssetAccountType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模板存入初始资金。</w:t>
      </w:r>
    </w:p>
    <w:p w14:paraId="75F96F5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创建证券账户：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插入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SecurityAccount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表，虚构上海/深圳证券账户。</w:t>
      </w:r>
    </w:p>
    <w:p w14:paraId="53175D6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查询客户：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从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Customer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CapitalAccount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SecurityAccount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表查询信息。</w:t>
      </w:r>
    </w:p>
    <w:p w14:paraId="5C3CFF1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字典数据：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从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IdType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AssetAccountType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等表读取字典数据，并缓存到 Redis。</w:t>
      </w:r>
    </w:p>
    <w:p w14:paraId="385C5E70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与 RocketMQ 交互：</w:t>
      </w:r>
    </w:p>
    <w:p w14:paraId="2D1BBA4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发送消息：</w:t>
      </w:r>
    </w:p>
    <w:p w14:paraId="4F52C9F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Topic: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customer_opened_event</w:t>
      </w:r>
    </w:p>
    <w:p w14:paraId="2059B052">
      <w:pPr>
        <w:keepNext w:val="0"/>
        <w:keepLines w:val="0"/>
        <w:widowControl/>
        <w:numPr>
          <w:ilvl w:val="2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消息内容：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CustomerOpenedEvent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(包含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customer_id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,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capital_account_id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,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security_account_id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等核心开户信息)。</w:t>
      </w:r>
    </w:p>
    <w:p w14:paraId="15E8BC01">
      <w:pPr>
        <w:keepNext w:val="0"/>
        <w:keepLines w:val="0"/>
        <w:widowControl/>
        <w:numPr>
          <w:ilvl w:val="2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53" w:beforeAutospacing="0" w:after="0" w:afterAutospacing="1"/>
        <w:ind w:left="216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目的：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通知其他服务（如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TradeService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）有新客户开户成功，可能需要进行后续处理或数据初始化。</w:t>
      </w:r>
    </w:p>
    <w:p w14:paraId="34FD60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288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39F1F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52" w:beforeAutospacing="0" w:after="126" w:afterAutospacing="0" w:line="1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3"/>
          <w:szCs w:val="2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3"/>
          <w:szCs w:val="23"/>
          <w:bdr w:val="single" w:color="E5E7EB" w:sz="2" w:space="0"/>
          <w:shd w:val="clear" w:fill="FFFFFF"/>
        </w:rPr>
        <w:t>2. 交易服务 (TradeService)</w:t>
      </w:r>
    </w:p>
    <w:p w14:paraId="7FC2D87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核心职责：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负责处理客户的委托下单、委托撤销、委托成交等核心交易逻辑，包括交易规则校验、资金与股份的冻结/解冻、扣减/增加。</w:t>
      </w:r>
    </w:p>
    <w:p w14:paraId="44BF737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数据库：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拥有自己的数据库（或至少管理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Order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Trade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Position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SecurityInfo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CommissionRate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等表）。</w:t>
      </w:r>
    </w:p>
    <w:p w14:paraId="609AA68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缓存：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使用 Redis 缓存实时行情数据（用于价格校验）、佣金费率、股票基础信息。</w:t>
      </w:r>
    </w:p>
    <w:p w14:paraId="1DA4B8B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重要说明：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交易服务是核心中的核心，对性能和一致性要求最高。</w:t>
      </w:r>
    </w:p>
    <w:p w14:paraId="4931CD1D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对外接口 (与前端交互)：</w:t>
      </w:r>
    </w:p>
    <w:tbl>
      <w:tblPr>
        <w:tblW w:w="9427" w:type="dxa"/>
        <w:jc w:val="center"/>
        <w:tblCellSpacing w:w="15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4"/>
        <w:gridCol w:w="850"/>
        <w:gridCol w:w="1950"/>
        <w:gridCol w:w="2033"/>
        <w:gridCol w:w="1297"/>
        <w:gridCol w:w="1683"/>
      </w:tblGrid>
      <w:tr w14:paraId="5DACDE34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2BBC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</w:t>
            </w:r>
          </w:p>
        </w:tc>
        <w:tc>
          <w:tcPr>
            <w:tcW w:w="82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2C6D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HTTP方法</w:t>
            </w:r>
          </w:p>
        </w:tc>
        <w:tc>
          <w:tcPr>
            <w:tcW w:w="192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15DC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路径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A8BC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请求体</w:t>
            </w:r>
          </w:p>
          <w:p w14:paraId="10665D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(RequestBody)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B7D5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响应体</w:t>
            </w:r>
          </w:p>
          <w:p w14:paraId="4FC4A3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(ResponseBody)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963C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D261A5E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6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8DD0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委托下单</w:t>
            </w:r>
          </w:p>
        </w:tc>
        <w:tc>
          <w:tcPr>
            <w:tcW w:w="8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AC67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POST</w:t>
            </w:r>
          </w:p>
        </w:tc>
        <w:tc>
          <w:tcPr>
            <w:tcW w:w="19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9021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/api/trade/order</w:t>
            </w:r>
          </w:p>
        </w:tc>
        <w:tc>
          <w:tcPr>
            <w:tcW w:w="2003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7409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OrderRequest</w:t>
            </w: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(含客户ID、资金账户ID、股票代码、价格、数量、买卖方向等)</w:t>
            </w:r>
          </w:p>
        </w:tc>
        <w:tc>
          <w:tcPr>
            <w:tcW w:w="1267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C302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OrderResponse</w:t>
            </w: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(含委托ID、委托状态等)</w:t>
            </w:r>
          </w:p>
        </w:tc>
        <w:tc>
          <w:tcPr>
            <w:tcW w:w="16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F744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接收客户委托下单请求，进行规则校验，并冻结资金/股份。</w:t>
            </w:r>
          </w:p>
        </w:tc>
      </w:tr>
      <w:tr w14:paraId="28BE8A46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6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D03A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委托撤销</w:t>
            </w:r>
          </w:p>
        </w:tc>
        <w:tc>
          <w:tcPr>
            <w:tcW w:w="8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1305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POST</w:t>
            </w:r>
          </w:p>
        </w:tc>
        <w:tc>
          <w:tcPr>
            <w:tcW w:w="19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70E5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/api/trade/cancel</w:t>
            </w:r>
          </w:p>
        </w:tc>
        <w:tc>
          <w:tcPr>
            <w:tcW w:w="2003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61CF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CancelOrderRequest</w:t>
            </w: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(含委托ID、客户ID)</w:t>
            </w:r>
          </w:p>
        </w:tc>
        <w:tc>
          <w:tcPr>
            <w:tcW w:w="1267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99D2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CancelOrderResponse</w:t>
            </w:r>
          </w:p>
        </w:tc>
        <w:tc>
          <w:tcPr>
            <w:tcW w:w="16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DF0F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接收客户撤单请求，校验后退回资金/股份，修改委托状态。</w:t>
            </w:r>
          </w:p>
        </w:tc>
      </w:tr>
      <w:tr w14:paraId="72010630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6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287D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模拟成交</w:t>
            </w:r>
          </w:p>
        </w:tc>
        <w:tc>
          <w:tcPr>
            <w:tcW w:w="8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A966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POST</w:t>
            </w:r>
          </w:p>
        </w:tc>
        <w:tc>
          <w:tcPr>
            <w:tcW w:w="19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A6C5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/api/trade/execute</w:t>
            </w:r>
          </w:p>
        </w:tc>
        <w:tc>
          <w:tcPr>
            <w:tcW w:w="2003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0E1A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TradeExecuteRequest</w:t>
            </w: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(含委托ID、成交价格、成交数量)</w:t>
            </w:r>
          </w:p>
        </w:tc>
        <w:tc>
          <w:tcPr>
            <w:tcW w:w="1267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43CF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TradeExecuteResponse</w:t>
            </w:r>
          </w:p>
        </w:tc>
        <w:tc>
          <w:tcPr>
            <w:tcW w:w="16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247B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Style w:val="6"/>
                <w:rFonts w:ascii="Consolas" w:hAnsi="宋体" w:eastAsia="Consolas" w:cs="宋体"/>
                <w:b/>
                <w:bCs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(供操作员或后台系统调用)</w:t>
            </w: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none" w:color="auto" w:sz="0" w:space="0"/>
                <w:lang w:val="en-US" w:eastAsia="zh-CN" w:bidi="ar"/>
              </w:rPr>
              <w:t> </w:t>
            </w: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模拟撮合系统生成成交，更新资金/持仓。</w:t>
            </w:r>
          </w:p>
        </w:tc>
      </w:tr>
      <w:tr w14:paraId="4B41952C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6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EA6D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查询客户持仓</w:t>
            </w:r>
          </w:p>
        </w:tc>
        <w:tc>
          <w:tcPr>
            <w:tcW w:w="8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2449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GET</w:t>
            </w:r>
          </w:p>
        </w:tc>
        <w:tc>
          <w:tcPr>
            <w:tcW w:w="19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35E1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/api/trade/position/{customerId}/{capitalAccountId}</w:t>
            </w:r>
          </w:p>
        </w:tc>
        <w:tc>
          <w:tcPr>
            <w:tcW w:w="2003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1023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无</w:t>
            </w:r>
          </w:p>
        </w:tc>
        <w:tc>
          <w:tcPr>
            <w:tcW w:w="1267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CEA6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PositionListResponse</w:t>
            </w:r>
          </w:p>
        </w:tc>
        <w:tc>
          <w:tcPr>
            <w:tcW w:w="16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5061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查询客户的实时持仓情况。</w:t>
            </w:r>
          </w:p>
        </w:tc>
      </w:tr>
      <w:tr w14:paraId="41A0844C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6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8FF6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查询委托记录</w:t>
            </w:r>
          </w:p>
        </w:tc>
        <w:tc>
          <w:tcPr>
            <w:tcW w:w="8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0FB6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GET</w:t>
            </w:r>
          </w:p>
        </w:tc>
        <w:tc>
          <w:tcPr>
            <w:tcW w:w="19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FA62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/api/trade/orders/{customerId}</w:t>
            </w:r>
          </w:p>
        </w:tc>
        <w:tc>
          <w:tcPr>
            <w:tcW w:w="2003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3A5A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（可选查询参数：资金账户ID、证券账户ID）</w:t>
            </w:r>
          </w:p>
        </w:tc>
        <w:tc>
          <w:tcPr>
            <w:tcW w:w="1267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CDF2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OrderListResponse</w:t>
            </w:r>
          </w:p>
        </w:tc>
        <w:tc>
          <w:tcPr>
            <w:tcW w:w="16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1281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查询客户的委托记录。</w:t>
            </w:r>
          </w:p>
        </w:tc>
      </w:tr>
      <w:tr w14:paraId="2FA6485D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69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0FB2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查询成交记录</w:t>
            </w:r>
          </w:p>
        </w:tc>
        <w:tc>
          <w:tcPr>
            <w:tcW w:w="82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1515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GET</w:t>
            </w:r>
          </w:p>
        </w:tc>
        <w:tc>
          <w:tcPr>
            <w:tcW w:w="192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73F1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/api/trade/trades/{customerId}</w:t>
            </w:r>
          </w:p>
        </w:tc>
        <w:tc>
          <w:tcPr>
            <w:tcW w:w="2003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5773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（可选查询参数：资金账户ID、证券账户ID）</w:t>
            </w:r>
          </w:p>
        </w:tc>
        <w:tc>
          <w:tcPr>
            <w:tcW w:w="1267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DC3D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TradeListResponse</w:t>
            </w:r>
          </w:p>
        </w:tc>
        <w:tc>
          <w:tcPr>
            <w:tcW w:w="1638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2104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Consolas" w:eastAsia="Consolas"/>
                <w:sz w:val="17"/>
              </w:rPr>
            </w:pP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查询客户的成交记录。</w:t>
            </w:r>
          </w:p>
        </w:tc>
      </w:tr>
    </w:tbl>
    <w:p w14:paraId="5B8ABD11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与数据库交互：</w:t>
      </w:r>
    </w:p>
    <w:p w14:paraId="49F49D4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委托下单：</w:t>
      </w:r>
    </w:p>
    <w:p w14:paraId="7EBC498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查询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SecurityInfo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获取股票信息。</w:t>
      </w:r>
    </w:p>
    <w:p w14:paraId="59AA2680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查询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CapitalAccount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(通过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customer_id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获取) 检查可用资金。</w:t>
      </w:r>
    </w:p>
    <w:p w14:paraId="7B1BEC2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查询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Position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(通过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customer_id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获取) 检查可用股份。</w:t>
      </w:r>
    </w:p>
    <w:p w14:paraId="5B97BFF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插入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Order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表，设置初始状态。</w:t>
      </w:r>
    </w:p>
    <w:p w14:paraId="0FC7D8E2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更新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CapitalAccount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(冻结资金) 或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Position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(冻结股份)。</w:t>
      </w:r>
    </w:p>
    <w:p w14:paraId="5B1B724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重要：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这一系列操作需要在一个事务中完成，确保数据一致性。</w:t>
      </w:r>
    </w:p>
    <w:p w14:paraId="5439991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委托撤销：</w:t>
      </w:r>
    </w:p>
    <w:p w14:paraId="4C786EDB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查询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Order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表确认状态。</w:t>
      </w:r>
    </w:p>
    <w:p w14:paraId="2C3F8338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更新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Order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表状态为“已撤销”。</w:t>
      </w:r>
    </w:p>
    <w:p w14:paraId="26557D96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更新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CapitalAccount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(解冻资金) 或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Position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(解冻股份)。</w:t>
      </w:r>
    </w:p>
    <w:p w14:paraId="62D54F7F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重要：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事务操作。</w:t>
      </w:r>
    </w:p>
    <w:p w14:paraId="1D3DC65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委托成交：</w:t>
      </w:r>
    </w:p>
    <w:p w14:paraId="4EED2326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查询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Order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表获取委托详情。</w:t>
      </w:r>
    </w:p>
    <w:p w14:paraId="08BB97D5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插入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Trade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表。</w:t>
      </w:r>
    </w:p>
    <w:p w14:paraId="4A1BB075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更新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Order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表状态（部分成交/已成交）、已成交数量。</w:t>
      </w:r>
    </w:p>
    <w:p w14:paraId="34D868D2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更新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CapitalAccount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(扣减冻结资金，增加可用资金) 或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Position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(扣减冻结股份，更新持仓数量)。</w:t>
      </w:r>
    </w:p>
    <w:p w14:paraId="5433B5A4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重要：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事务操作。</w:t>
      </w:r>
    </w:p>
    <w:p w14:paraId="71CC8C3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查询持仓、委托、成交：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从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Position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Order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Trade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表查询。</w:t>
      </w:r>
    </w:p>
    <w:p w14:paraId="43537EA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字典数据/配置：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从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SecurityInfo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CommissionRate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等表读取数据，并缓存到 Redis。</w:t>
      </w:r>
    </w:p>
    <w:p w14:paraId="0FB24843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与 RocketMQ 交互：</w:t>
      </w:r>
    </w:p>
    <w:p w14:paraId="581B46E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消费消息：</w:t>
      </w:r>
    </w:p>
    <w:p w14:paraId="7C0C3EAA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Topic: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customer_opened_event</w:t>
      </w:r>
    </w:p>
    <w:p w14:paraId="274A3BD3">
      <w:pPr>
        <w:keepNext w:val="0"/>
        <w:keepLines w:val="0"/>
        <w:widowControl/>
        <w:numPr>
          <w:ilvl w:val="2"/>
          <w:numId w:val="1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目的：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CustomerService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通知新客户开户成功时，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TradeService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可能需要初始化一些客户相关的交易配置或数据结构，或者仅作为记录。</w:t>
      </w:r>
    </w:p>
    <w:p w14:paraId="2538EEE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发送消息：</w:t>
      </w:r>
    </w:p>
    <w:p w14:paraId="70D2F81D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144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Topic: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order_created_event</w:t>
      </w:r>
    </w:p>
    <w:p w14:paraId="30AC8BF7">
      <w:pPr>
        <w:keepNext w:val="0"/>
        <w:keepLines w:val="0"/>
        <w:widowControl/>
        <w:numPr>
          <w:ilvl w:val="2"/>
          <w:numId w:val="1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消息内容：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OrderCreatedEvent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(含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order_id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,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customer_id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,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stock_code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,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price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,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quantity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等)。</w:t>
      </w:r>
    </w:p>
    <w:p w14:paraId="0E315471">
      <w:pPr>
        <w:keepNext w:val="0"/>
        <w:keepLines w:val="0"/>
        <w:widowControl/>
        <w:numPr>
          <w:ilvl w:val="2"/>
          <w:numId w:val="1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53" w:beforeAutospacing="0" w:after="0" w:afterAutospacing="1"/>
        <w:ind w:left="216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目的：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通知其他服务（如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QuerySyncService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）有新的委托单生成，用于实时数据同步。</w:t>
      </w:r>
    </w:p>
    <w:p w14:paraId="1128AF78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144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Topic: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order_status_updated_event</w:t>
      </w:r>
    </w:p>
    <w:p w14:paraId="276FF10F">
      <w:pPr>
        <w:keepNext w:val="0"/>
        <w:keepLines w:val="0"/>
        <w:widowControl/>
        <w:numPr>
          <w:ilvl w:val="2"/>
          <w:numId w:val="1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消息内容：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OrderStatusUpdatedEvent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(含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order_id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,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old_status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,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new_status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,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trade_id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等)。</w:t>
      </w:r>
    </w:p>
    <w:p w14:paraId="1FF81B1C">
      <w:pPr>
        <w:keepNext w:val="0"/>
        <w:keepLines w:val="0"/>
        <w:widowControl/>
        <w:numPr>
          <w:ilvl w:val="2"/>
          <w:numId w:val="1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53" w:beforeAutospacing="0" w:after="0" w:afterAutospacing="1"/>
        <w:ind w:left="216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目的：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通知其他服务委托单状态变更（如撤销、部分成交、完全成交），特别是成交后需要更新资金、持仓等。</w:t>
      </w:r>
    </w:p>
    <w:p w14:paraId="53AE5CDA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144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Topic: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trade_executed_event</w:t>
      </w:r>
    </w:p>
    <w:p w14:paraId="14BA2332">
      <w:pPr>
        <w:keepNext w:val="0"/>
        <w:keepLines w:val="0"/>
        <w:widowControl/>
        <w:numPr>
          <w:ilvl w:val="2"/>
          <w:numId w:val="1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消息内容：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TradeExecutedEvent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(含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trade_id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,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order_id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,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customer_id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,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stock_code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,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trade_price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,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trade_quantity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等)。</w:t>
      </w:r>
    </w:p>
    <w:p w14:paraId="20C806F5">
      <w:pPr>
        <w:keepNext w:val="0"/>
        <w:keepLines w:val="0"/>
        <w:widowControl/>
        <w:numPr>
          <w:ilvl w:val="2"/>
          <w:numId w:val="1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53" w:beforeAutospacing="0" w:after="0" w:afterAutospacing="1"/>
        <w:ind w:left="216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目的：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通知其他服务有新的成交发生，特别是需要用于可视化大屏或数据分析。</w:t>
      </w:r>
    </w:p>
    <w:p w14:paraId="2406FF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288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C28A37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52" w:beforeAutospacing="0" w:after="126" w:afterAutospacing="0" w:line="1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3"/>
          <w:szCs w:val="2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3"/>
          <w:szCs w:val="23"/>
          <w:bdr w:val="single" w:color="E5E7EB" w:sz="2" w:space="0"/>
          <w:shd w:val="clear" w:fill="FFFFFF"/>
        </w:rPr>
        <w:t>3. 查询与数据同步服务 (QuerySyncService)</w:t>
      </w:r>
    </w:p>
    <w:p w14:paraId="41349F1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核心职责：</w:t>
      </w:r>
    </w:p>
    <w:p w14:paraId="2D4D1340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提供客户历史委托与成交记录的聚合查询（如果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TradeServ</w:t>
      </w:r>
      <w:bookmarkStart w:id="0" w:name="_GoBack"/>
      <w:bookmarkEnd w:id="0"/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ice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的查询只返回明细）。</w:t>
      </w:r>
    </w:p>
    <w:p w14:paraId="3FECD2A9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将 MySQL 中的核心交易数据异步同步到 ClickHouse（如果引入 ClickHouse）。</w:t>
      </w:r>
    </w:p>
    <w:p w14:paraId="141CF955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聚合数据供可视化大屏使用。</w:t>
      </w:r>
    </w:p>
    <w:p w14:paraId="002D7C9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数据库：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可能不直接管理核心业务数据表，而是从其他服务同步数据。如果仅作查询，它可能直接查询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TradeService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的数据库副本或通过 API 获取。如果引入 ClickHouse，它将负责写入 ClickHouse。</w:t>
      </w:r>
    </w:p>
    <w:p w14:paraId="2178341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缓存：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使用 Redis 缓存一些聚合后的查询结果，或作为 ClickHouse 写入的中间层。</w:t>
      </w:r>
    </w:p>
    <w:p w14:paraId="2F758470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对外接口 (与前端交互)：</w:t>
      </w:r>
    </w:p>
    <w:tbl>
      <w:tblPr>
        <w:tblW w:w="9749" w:type="dxa"/>
        <w:jc w:val="center"/>
        <w:tblCellSpacing w:w="15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4"/>
        <w:gridCol w:w="1334"/>
        <w:gridCol w:w="2715"/>
        <w:gridCol w:w="1717"/>
        <w:gridCol w:w="1683"/>
        <w:gridCol w:w="1426"/>
      </w:tblGrid>
      <w:tr w14:paraId="01B7DA32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ACCC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</w:t>
            </w:r>
          </w:p>
        </w:tc>
        <w:tc>
          <w:tcPr>
            <w:tcW w:w="1175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2866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HTTP方法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65B6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路径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FDDF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请求体</w:t>
            </w:r>
          </w:p>
          <w:p w14:paraId="787DD8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(RequestBody)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EA7B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响应体</w:t>
            </w:r>
          </w:p>
          <w:p w14:paraId="6E4310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(ResponseBody)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E7D8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6B1F5BD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631A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查询历史委托统计</w:t>
            </w:r>
          </w:p>
        </w:tc>
        <w:tc>
          <w:tcPr>
            <w:tcW w:w="117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6026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GET</w:t>
            </w:r>
          </w:p>
        </w:tc>
        <w:tc>
          <w:tcPr>
            <w:tcW w:w="303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80F4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/api/query/orders/summary/{customerId}</w:t>
            </w:r>
          </w:p>
        </w:tc>
        <w:tc>
          <w:tcPr>
            <w:tcW w:w="181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3303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（可选查询参数：时间范围、股票代码）</w:t>
            </w:r>
          </w:p>
        </w:tc>
        <w:tc>
          <w:tcPr>
            <w:tcW w:w="1843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75DC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OrderSummaryResponse</w:t>
            </w:r>
          </w:p>
        </w:tc>
        <w:tc>
          <w:tcPr>
            <w:tcW w:w="157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C1D4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查询客户历史委托的统计信息（如总委托量、已成交量等）。</w:t>
            </w:r>
          </w:p>
        </w:tc>
      </w:tr>
      <w:tr w14:paraId="73A00A9E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1ECA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查询历史成交统计</w:t>
            </w:r>
          </w:p>
        </w:tc>
        <w:tc>
          <w:tcPr>
            <w:tcW w:w="117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99B5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GET</w:t>
            </w:r>
          </w:p>
        </w:tc>
        <w:tc>
          <w:tcPr>
            <w:tcW w:w="303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F184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/api/query/trades/summary/{customerId}</w:t>
            </w:r>
          </w:p>
        </w:tc>
        <w:tc>
          <w:tcPr>
            <w:tcW w:w="181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5ACA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（可选查询参数：时间范围、股票代码）</w:t>
            </w:r>
          </w:p>
        </w:tc>
        <w:tc>
          <w:tcPr>
            <w:tcW w:w="1843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18E4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TradeSummaryResponse</w:t>
            </w:r>
          </w:p>
        </w:tc>
        <w:tc>
          <w:tcPr>
            <w:tcW w:w="157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77E4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查询客户历史成交的统计信息（如总成交额、总收益等）。</w:t>
            </w:r>
          </w:p>
        </w:tc>
      </w:tr>
      <w:tr w14:paraId="26776C5E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20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EFF8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获取大屏数据</w:t>
            </w:r>
          </w:p>
        </w:tc>
        <w:tc>
          <w:tcPr>
            <w:tcW w:w="1175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8B90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GET</w:t>
            </w:r>
          </w:p>
        </w:tc>
        <w:tc>
          <w:tcPr>
            <w:tcW w:w="303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725C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/api/query/dashboard/{dataType}</w:t>
            </w:r>
          </w:p>
        </w:tc>
        <w:tc>
          <w:tcPr>
            <w:tcW w:w="181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549A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（可选查询参数：时间范围、维度）</w:t>
            </w:r>
          </w:p>
        </w:tc>
        <w:tc>
          <w:tcPr>
            <w:tcW w:w="1843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E0AF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DashboardDataResponse</w:t>
            </w:r>
          </w:p>
        </w:tc>
        <w:tc>
          <w:tcPr>
            <w:tcW w:w="1573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5F08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17"/>
              </w:rPr>
            </w:pPr>
            <w:r>
              <w:rPr>
                <w:rFonts w:ascii="Consolas" w:hAnsi="宋体" w:eastAsia="Consolas" w:cs="宋体"/>
                <w:kern w:val="0"/>
                <w:sz w:val="17"/>
                <w:szCs w:val="24"/>
                <w:bdr w:val="single" w:color="E5E7EB" w:sz="2" w:space="0"/>
                <w:lang w:val="en-US" w:eastAsia="zh-CN" w:bidi="ar"/>
              </w:rPr>
              <w:t>为可视化大屏提供聚合后的数据（例如市场总览、活跃用户等）。</w:t>
            </w:r>
          </w:p>
        </w:tc>
      </w:tr>
    </w:tbl>
    <w:p w14:paraId="5BA5BAC3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与数据库交互：</w:t>
      </w:r>
    </w:p>
    <w:p w14:paraId="083C544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直接查询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TradeService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所在的 MySQL 数据库，执行更复杂的聚合查询。</w:t>
      </w:r>
    </w:p>
    <w:p w14:paraId="73A8C84E">
      <w:pPr>
        <w:keepNext w:val="0"/>
        <w:keepLines w:val="0"/>
        <w:widowControl/>
        <w:numPr>
          <w:numId w:val="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与 RocketMQ 交互：</w:t>
      </w:r>
    </w:p>
    <w:p w14:paraId="01D12967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消费消息：</w:t>
      </w:r>
    </w:p>
    <w:p w14:paraId="37EBC3D5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144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Topic: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order_created_event</w:t>
      </w:r>
    </w:p>
    <w:p w14:paraId="1E4627DC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144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Topic: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order_status_updated_event</w:t>
      </w:r>
    </w:p>
    <w:p w14:paraId="173BE13F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144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Topic: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trade_executed_event</w:t>
      </w:r>
    </w:p>
    <w:p w14:paraId="65ECDEDA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53" w:beforeAutospacing="0" w:after="0" w:afterAutospacing="1"/>
        <w:ind w:left="144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Topic: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7"/>
          <w:szCs w:val="17"/>
          <w:bdr w:val="single" w:color="E5E7EB" w:sz="2" w:space="0"/>
          <w:shd w:val="clear" w:fill="FFFFFF"/>
        </w:rPr>
        <w:t>customer_opened_event</w:t>
      </w:r>
    </w:p>
    <w:p w14:paraId="7E866421">
      <w:pPr>
        <w:keepNext w:val="0"/>
        <w:keepLines w:val="0"/>
        <w:widowControl/>
        <w:numPr>
          <w:ilvl w:val="2"/>
          <w:numId w:val="1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目的：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监听所有相关的业务事件，将这些事件的数据进行转换和清洗，然后写入 ClickHouse (如果使用)，或者更新自身的缓存数据用于提供聚合查询。</w:t>
      </w:r>
    </w:p>
    <w:p w14:paraId="63E1B8B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9CE23B"/>
    <w:multiLevelType w:val="multilevel"/>
    <w:tmpl w:val="849CE2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FC16DAF"/>
    <w:multiLevelType w:val="multilevel"/>
    <w:tmpl w:val="8FC16D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7A9A71B"/>
    <w:multiLevelType w:val="multilevel"/>
    <w:tmpl w:val="97A9A7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A0F6F59"/>
    <w:multiLevelType w:val="multilevel"/>
    <w:tmpl w:val="BA0F6F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EF3D7DF"/>
    <w:multiLevelType w:val="multilevel"/>
    <w:tmpl w:val="BEF3D7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0BBB52A"/>
    <w:multiLevelType w:val="multilevel"/>
    <w:tmpl w:val="C0BBB5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78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0E939A0"/>
    <w:multiLevelType w:val="multilevel"/>
    <w:tmpl w:val="D0E939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129A20C"/>
    <w:multiLevelType w:val="multilevel"/>
    <w:tmpl w:val="D129A2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A28CD03"/>
    <w:multiLevelType w:val="multilevel"/>
    <w:tmpl w:val="DA28CD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CEA4D36"/>
    <w:multiLevelType w:val="multilevel"/>
    <w:tmpl w:val="4CEA4D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9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0"/>
  </w:num>
  <w:num w:numId="18">
    <w:abstractNumId w:val="7"/>
  </w:num>
  <w:num w:numId="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081363"/>
    <w:rsid w:val="260416AF"/>
    <w:rsid w:val="34270BD4"/>
    <w:rsid w:val="3C1F6635"/>
    <w:rsid w:val="416A65A4"/>
    <w:rsid w:val="4767120E"/>
    <w:rsid w:val="51D3784E"/>
    <w:rsid w:val="53B21F8A"/>
    <w:rsid w:val="6479457A"/>
    <w:rsid w:val="7D31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2026-04-13T06:33:53Z</dcterms:created>
  <dc:creator>Asus</dc:creator>
  <cp:lastModifiedBy>浮世「歌琉」</cp:lastModifiedBy>
  <dcterms:modified xsi:type="dcterms:W3CDTF">2026-04-13T06:46:02Z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eyJoZGlkIjoiM2U5NWYwZjMxMDVjMmExZjA5YTE0ZDhjNTY0MWVkYjkiLCJ1c2VySWQiOiIxMTU4NDAwMzUwIn0=</vt:lpwstr>
  </property>
  <property fmtid="{D5CDD505-2E9C-101B-9397-08002B2CF9AE}" pid="4" name="ICV">
    <vt:lpwstr>4A319E4F947E469FA309CA8027978048_12</vt:lpwstr>
  </property>
</Properties>
</file>