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B3A1B"/>
          <w:sz w:val="32"/>
          <w:szCs w:val="32"/>
        </w:rPr>
        <w:t xml:space="preserve">HCI Assignment 2</w:t>
      </w:r>
    </w:p>
    <w:p>
      <w:pPr>
        <w:spacing w:after="400"/>
        <w:jc w:val="center"/>
      </w:pPr>
      <w:r>
        <w:rPr>
          <w:sz w:val="26"/>
          <w:szCs w:val="26"/>
        </w:rPr>
        <w:t xml:space="preserve">Design and Development of a User Interface Prototype</w:t>
      </w:r>
    </w:p>
    <w:p>
      <w:pPr>
        <w:spacing w:after="100"/>
        <w:jc w:val="center"/>
      </w:pPr>
      <w:r>
        <w:rPr>
          <w:b/>
          <w:bCs/>
          <w:color w:val="5B3A1B"/>
          <w:sz w:val="30"/>
          <w:szCs w:val="30"/>
        </w:rPr>
        <w:t xml:space="preserve">Kedai Mamak Pak Din — Self-Order Kiosk</w:t>
      </w:r>
    </w:p>
    <w:p>
      <w:pPr>
        <w:spacing w:after="800"/>
        <w:jc w:val="center"/>
      </w:pPr>
      <w:r>
        <w:rPr>
          <w:i/>
          <w:iCs/>
          <w:sz w:val="22"/>
          <w:szCs w:val="22"/>
        </w:rPr>
        <w:t xml:space="preserve">Design Rationale Document (Beta Prototype)</w:t>
      </w:r>
    </w:p>
    <w:p>
      <w:pPr>
        <w:spacing w:after="60"/>
        <w:jc w:val="center"/>
      </w:pPr>
      <w:r>
        <w:rPr>
          <w:sz w:val="22"/>
          <w:szCs w:val="22"/>
        </w:rPr>
        <w:t xml:space="preserve">Student Name: [Your Name]</w:t>
      </w:r>
    </w:p>
    <w:p>
      <w:pPr>
        <w:spacing w:after="60"/>
        <w:jc w:val="center"/>
      </w:pPr>
      <w:r>
        <w:rPr>
          <w:sz w:val="22"/>
          <w:szCs w:val="22"/>
        </w:rPr>
        <w:t xml:space="preserve">Student ID: [Your ID]</w:t>
      </w:r>
    </w:p>
    <w:p>
      <w:pPr>
        <w:spacing w:after="60"/>
        <w:jc w:val="center"/>
      </w:pPr>
      <w:r>
        <w:rPr>
          <w:sz w:val="22"/>
          <w:szCs w:val="22"/>
        </w:rPr>
        <w:t xml:space="preserve">Course / Module: Human-Computer Interaction</w:t>
      </w:r>
    </w:p>
    <w:p>
      <w:pPr>
        <w:spacing w:after="60"/>
        <w:jc w:val="center"/>
      </w:pPr>
      <w:r>
        <w:rPr>
          <w:sz w:val="22"/>
          <w:szCs w:val="22"/>
        </w:rPr>
        <w:t xml:space="preserve">Date: [Submission Date]</w:t>
      </w:r>
    </w:p>
    <w:p>
      <w:pPr>
        <w:jc w:val="center"/>
      </w:pPr>
      <w:r>
        <w:rPr>
          <w:sz w:val="22"/>
          <w:szCs w:val="22"/>
        </w:rPr>
        <w:t xml:space="preserve">GitHub Repository: [Insert your repo URL here]</w:t>
      </w:r>
    </w:p>
    <w:p>
      <w:r>
        <w:br w:type="page"/>
      </w:r>
    </w:p>
    <w:p>
      <w:pPr>
        <w:pStyle w:val="Heading1"/>
        <w:spacing w:after="150" w:before="300"/>
      </w:pPr>
      <w:r>
        <w:t xml:space="preserve">1. Introduction</w:t>
      </w:r>
    </w:p>
    <w:p>
      <w:pPr>
        <w:spacing w:after="160"/>
      </w:pPr>
      <w:r>
        <w:t xml:space="preserve">This document accompanies the beta-version prototype submitted for HCI Assignment 2. The brief required the design and development of a user interface that incorporates visual and audio interaction techniques for a local organisation, implemented using a standard Application Programming Interface (API).</w:t>
      </w:r>
    </w:p>
    <w:p>
      <w:pPr>
        <w:spacing w:after="160"/>
      </w:pPr>
      <w:r>
        <w:t xml:space="preserve">The chosen organisation is a small local mamak stall, “Kedai Mamak Pak Din” — a generic, fictional name representing a very common local eatery format in Malaysia (an open, often 24-hour, casual restaurant serving roti, rice/noodle dishes, and drinks such as teh tarik), not a specific real chain. The artefact is a self-order touchscreen kiosk intended to sit at the counter, letting customers browse the menu and place an order without waiting for a staff member to be free during busy periods. The prototype was implemented in Python using OpenGL (via the PyOpenGL bindings and the GLUT windowing/input toolkit) for all rendering and interaction, and pygame.mixer for audio playback — satisfying the requirement to use a standard graphics API while keeping the audio layer equally intentional rather than an afterthought.</w:t>
      </w:r>
    </w:p>
    <w:p>
      <w:pPr>
        <w:spacing w:after="160"/>
      </w:pPr>
      <w:r>
        <w:t xml:space="preserve">This document explains the design process, the interaction flow, and — most importantly — the HCI rationale behind each visual and audio technique used in the prototype.</w:t>
      </w:r>
    </w:p>
    <w:p>
      <w:pPr>
        <w:pStyle w:val="Heading1"/>
        <w:spacing w:after="150" w:before="300"/>
      </w:pPr>
      <w:r>
        <w:t xml:space="preserve">2. The Organisation and User Needs</w:t>
      </w:r>
    </w:p>
    <w:p>
      <w:pPr>
        <w:spacing w:after="160"/>
      </w:pPr>
      <w:r>
        <w:t xml:space="preserve">Mamak stalls are a familiar and heavily-trafficked part of everyday life in Malaysia, and they experience queueing bottlenecks during peak periods (breakfast, supper, match nights). A self-order kiosk placed near the counter allows customers to browse the menu and place an order without waiting for a staff member to take it verbally, while kitchen staff focus on preparation.</w:t>
      </w:r>
    </w:p>
    <w:p>
      <w:pPr>
        <w:pStyle w:val="Heading2"/>
        <w:spacing w:after="100" w:before="200"/>
      </w:pPr>
      <w:r>
        <w:t xml:space="preserve">2.1 Primary user groups considered</w:t>
      </w:r>
    </w:p>
    <w:p>
      <w:pPr>
        <w:pStyle w:val="ListParagraph"/>
        <w:numPr>
          <w:ilvl w:val="0"/>
          <w:numId w:val="2"/>
        </w:numPr>
        <w:spacing w:after="80"/>
      </w:pPr>
      <w:r>
        <w:t xml:space="preserve">Time-pressed regulars (students, shift workers) who want to order quickly with minimal taps and immediate confirmation that their input registered.</w:t>
      </w:r>
    </w:p>
    <w:p>
      <w:pPr>
        <w:pStyle w:val="ListParagraph"/>
        <w:numPr>
          <w:ilvl w:val="0"/>
          <w:numId w:val="2"/>
        </w:numPr>
        <w:spacing w:after="80"/>
      </w:pPr>
      <w:r>
        <w:t xml:space="preserve">Returning customers who want to recognise dishes quickly by icon and colour rather than reading a full menu each time — especially useful given how visually distinct dishes like nasi lemak or teh tarik are.</w:t>
      </w:r>
    </w:p>
    <w:p>
      <w:pPr>
        <w:pStyle w:val="ListParagraph"/>
        <w:numPr>
          <w:ilvl w:val="0"/>
          <w:numId w:val="2"/>
        </w:numPr>
        <w:spacing w:after="80"/>
      </w:pPr>
      <w:r>
        <w:t xml:space="preserve">First-time or occasional visitors, including tourists, who need clear labelling, price visibility in Ringgit (RM), and an obvious path through the ordering process even without prior familiarity with the menu.</w:t>
      </w:r>
    </w:p>
    <w:p>
      <w:pPr>
        <w:pStyle w:val="ListParagraph"/>
        <w:numPr>
          <w:ilvl w:val="0"/>
          <w:numId w:val="2"/>
        </w:numPr>
        <w:spacing w:after="80"/>
      </w:pPr>
      <w:r>
        <w:t xml:space="preserve">Stall staff, indirectly, who benefit from a predictable, itemised digital order/receipt rather than a shouted or handwritten order.</w:t>
      </w:r>
    </w:p>
    <w:p>
      <w:pPr>
        <w:spacing w:after="160"/>
      </w:pPr>
      <w:r>
        <w:t xml:space="preserve">These groups converge on three shared needs that drove the design: speed (few steps, clear next action), confidence (constant feedback that the system registered input), and low cognitive load (icons and colour over dense text, one task per screen).</w:t>
      </w:r>
    </w:p>
    <w:p>
      <w:pPr>
        <w:pStyle w:val="Heading1"/>
        <w:spacing w:after="150" w:before="300"/>
      </w:pPr>
      <w:r>
        <w:t xml:space="preserve">3. Design Process</w:t>
      </w:r>
    </w:p>
    <w:p>
      <w:pPr>
        <w:spacing w:after="160"/>
      </w:pPr>
      <w:r>
        <w:t xml:space="preserve">The prototype was developed iteratively:</w:t>
      </w:r>
    </w:p>
    <w:p>
      <w:pPr>
        <w:pStyle w:val="ListParagraph"/>
        <w:numPr>
          <w:ilvl w:val="0"/>
          <w:numId w:val="2"/>
        </w:numPr>
        <w:spacing w:after="80"/>
      </w:pPr>
      <w:r>
        <w:t xml:space="preserve">Iteration 1 (tutorial-level proof of concept): a single-screen kiosk with a static menu grid, a cart panel, and a checkout button, used to validate that OpenGL/GLUT could handle real-time mouse interaction, hover states, and synchronised audio playback. This iteration used a generic café concept purely to prove the technical pipeline.</w:t>
      </w:r>
    </w:p>
    <w:p>
      <w:pPr>
        <w:pStyle w:val="ListParagraph"/>
        <w:numPr>
          <w:ilvl w:val="0"/>
          <w:numId w:val="2"/>
        </w:numPr>
        <w:spacing w:after="80"/>
      </w:pPr>
      <w:r>
        <w:t xml:space="preserve">Iteration 2 (this beta prototype): re-themed around a local mamak stall and expanded into a full multi-screen flow with category browsing (Nasi &amp; Mee / Roti / Minuman), a dedicated cart/review screen with quantity controls, an animated order-confirmation screen, and a printed-receipt screen — mirroring the actual sequence of steps a customer goes through at a real kiosk, and giving each step room for its own feedback rather than compressing everything onto one screen.</w:t>
      </w:r>
    </w:p>
    <w:p>
      <w:pPr>
        <w:spacing w:after="160"/>
      </w:pPr>
      <w:r>
        <w:t xml:space="preserve">Two design changes mattered most between iterations. First, expanding from a single screen to a multi-screen flow let each interaction (browsing, reviewing, confirming, receiving a receipt) have a distinct visual state and a distinct paired audio cue, rather than one screen trying to communicate every possible system state at once. Second, re-theming around a mamak stall — rather than a generic café — pushed the icon and interaction design to be more specific and locally grounded: for example, the splash screen's animated “teh tarik pull” (two glasses connected by a flowing stream of tea) replaced a generic coffee-cup-with-steam icon, giving the interface a distinctive, culturally specific identity rather than a template look.</w:t>
      </w:r>
    </w:p>
    <w:p>
      <w:pPr>
        <w:pStyle w:val="Heading1"/>
        <w:spacing w:after="150" w:before="300"/>
      </w:pPr>
      <w:r>
        <w:t xml:space="preserve">4. Interaction Flow and Information Architecture</w:t>
      </w:r>
    </w:p>
    <w:p>
      <w:pPr>
        <w:spacing w:after="160"/>
      </w:pPr>
      <w:r>
        <w:t xml:space="preserve">The kiosk moves through five screens in a fixed sequence, looping back to the start once an order is complete:</w:t>
      </w:r>
    </w:p>
    <w:p>
      <w:pPr>
        <w:spacing w:after="160"/>
      </w:pPr>
      <w:r>
        <w:rPr>
          <w:i/>
          <w:iCs/>
        </w:rPr>
        <w:t xml:space="preserve">Splash  →  Menu  →  Cart  →  Order Confirmation  →  Receipt  →  (back to Splash)</w:t>
      </w:r>
    </w:p>
    <w:p>
      <w:pPr>
        <w:pStyle w:val="Heading2"/>
        <w:spacing w:after="100" w:before="200"/>
      </w:pPr>
      <w:r>
        <w:t xml:space="preserve">4.1 Splash screen</w:t>
      </w:r>
    </w:p>
    <w:p>
      <w:pPr>
        <w:spacing w:after="160"/>
      </w:pPr>
      <w:r>
        <w:t xml:space="preserve">Displays the stall branding and an animated “teh tarik pull” — two glasses with a looping, flowing stream of tea between them — alongside a pulsing “tap anywhere to start” prompt. Purpose: establish a distinctive, locally-grounded brand identity and signal, unambiguously, how to begin.</w:t>
      </w:r>
    </w:p>
    <w:p>
      <w:pPr>
        <w:pStyle w:val="Heading2"/>
        <w:spacing w:after="100" w:before="200"/>
      </w:pPr>
      <w:r>
        <w:t xml:space="preserve">4.2 Menu screen</w:t>
      </w:r>
    </w:p>
    <w:p>
      <w:pPr>
        <w:spacing w:after="160"/>
      </w:pPr>
      <w:r>
        <w:t xml:space="preserve">Presents items grouped into category tabs (Nasi &amp; Mee, Roti, Minuman). Each item is a card with a vector icon, name, price in Ringgit, and a live quantity badge once added. A persistent “View Cart” button in the corner shows the running item count.</w:t>
      </w:r>
    </w:p>
    <w:p>
      <w:pPr>
        <w:pStyle w:val="Heading2"/>
        <w:spacing w:after="100" w:before="200"/>
      </w:pPr>
      <w:r>
        <w:t xml:space="preserve">4.3 Cart screen</w:t>
      </w:r>
    </w:p>
    <w:p>
      <w:pPr>
        <w:spacing w:after="160"/>
      </w:pPr>
      <w:r>
        <w:t xml:space="preserve">Lists every item added, with a quantity stepper (+/−) per line, a running subtotal/rounding/total panel, and Back / Checkout actions. Checkout is visually disabled (greyed) when the cart is empty, preventing an invalid action rather than allowing it and then showing an error. The total is rounded to the nearest 5 sen — Malaysia's smallest circulating coin denomination — reflecting how small local stalls typically settle cash totals, rather than applying a service tax that would not realistically apply to a small mamak stall below the SST registration threshold.</w:t>
      </w:r>
    </w:p>
    <w:p>
      <w:pPr>
        <w:pStyle w:val="Heading2"/>
        <w:spacing w:after="100" w:before="200"/>
      </w:pPr>
      <w:r>
        <w:t xml:space="preserve">4.4 Order Confirmation screen</w:t>
      </w:r>
    </w:p>
    <w:p>
      <w:pPr>
        <w:spacing w:after="160"/>
      </w:pPr>
      <w:r>
        <w:t xml:space="preserve">A checkmark animates into view stroke-by-stroke over ~0.6 seconds, paired with a confirmation chime, followed by the order number and a button to view the receipt.</w:t>
      </w:r>
    </w:p>
    <w:p>
      <w:pPr>
        <w:pStyle w:val="Heading2"/>
        <w:spacing w:after="100" w:before="200"/>
      </w:pPr>
      <w:r>
        <w:t xml:space="preserve">4.5 Receipt screen</w:t>
      </w:r>
    </w:p>
    <w:p>
      <w:pPr>
        <w:spacing w:after="160"/>
      </w:pPr>
      <w:r>
        <w:t xml:space="preserve">Simulates a printed receipt: line items reveal one at a time with a short mechanical tick sound, mimicking a physical receipt printer, before totals and a “Start New Order” button appear, closing with a bilingual “Terima kasih! Thank you!”.</w:t>
      </w:r>
    </w:p>
    <w:p>
      <w:pPr>
        <w:pStyle w:val="Heading1"/>
        <w:spacing w:after="150" w:before="300"/>
      </w:pPr>
      <w:r>
        <w:t xml:space="preserve">5. Visual Design Techniques and Rationale</w:t>
      </w:r>
    </w:p>
    <w:p>
      <w:pPr>
        <w:spacing w:after="160"/>
      </w:pPr>
      <w:r>
        <w:t xml:space="preserve">The table below maps each visual technique used in the prototype to the screen(s) it appears on and the HCI principle it serves.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rPr>
          <w:tblHeader/>
        </w:trPr>
        <w:tc>
          <w:tcPr>
            <w:tcW w:type="dxa" w:w="2808"/>
            <w:shd w:fill="5B3A1B" w:color="auto" w:val="clear"/>
          </w:tcPr>
          <w:p>
            <w:r>
              <w:rPr>
                <w:b/>
                <w:bCs/>
                <w:color w:val="FFFFFF"/>
                <w:sz w:val="20"/>
                <w:szCs w:val="20"/>
              </w:rPr>
              <w:t xml:space="preserve">Technique</w:t>
            </w:r>
          </w:p>
        </w:tc>
        <w:tc>
          <w:tcPr>
            <w:tcW w:type="dxa" w:w="1872"/>
            <w:shd w:fill="5B3A1B" w:color="auto" w:val="clear"/>
          </w:tcPr>
          <w:p>
            <w:r>
              <w:rPr>
                <w:b/>
                <w:bCs/>
                <w:color w:val="FFFFFF"/>
                <w:sz w:val="20"/>
                <w:szCs w:val="20"/>
              </w:rPr>
              <w:t xml:space="preserve">Where used</w:t>
            </w:r>
          </w:p>
        </w:tc>
        <w:tc>
          <w:tcPr>
            <w:tcW w:type="dxa" w:w="4680"/>
            <w:shd w:fill="5B3A1B" w:color="auto" w:val="clear"/>
          </w:tcPr>
          <w:p>
            <w:r>
              <w:rPr>
                <w:b/>
                <w:bCs/>
                <w:color w:val="FFFFFF"/>
                <w:sz w:val="20"/>
                <w:szCs w:val="20"/>
              </w:rPr>
              <w:t xml:space="preserve">HCI Rationale</w:t>
            </w:r>
          </w:p>
        </w:tc>
      </w:tr>
      <w:tr>
        <w:tc>
          <w:tcPr>
            <w:tcW w:type="dxa" w:w="2808"/>
          </w:tcPr>
          <w:p>
            <w:r>
              <w:rPr>
                <w:b w:val="false"/>
                <w:bCs w:val="false"/>
                <w:sz w:val="20"/>
                <w:szCs w:val="20"/>
              </w:rPr>
              <w:t xml:space="preserve">Colour-coded, icon-based item cards</w:t>
            </w:r>
          </w:p>
        </w:tc>
        <w:tc>
          <w:tcPr>
            <w:tcW w:type="dxa" w:w="1872"/>
          </w:tcPr>
          <w:p>
            <w:r>
              <w:rPr>
                <w:b w:val="false"/>
                <w:bCs w:val="false"/>
                <w:sz w:val="20"/>
                <w:szCs w:val="20"/>
              </w:rPr>
              <w:t xml:space="preserve">Menu</w:t>
            </w:r>
          </w:p>
        </w:tc>
        <w:tc>
          <w:tcPr>
            <w:tcW w:type="dxa" w:w="4680"/>
          </w:tcPr>
          <w:p>
            <w:r>
              <w:rPr>
                <w:b w:val="false"/>
                <w:bCs w:val="false"/>
                <w:sz w:val="20"/>
                <w:szCs w:val="20"/>
              </w:rPr>
              <w:t xml:space="preserve">Gestalt similarity/proximity groups related items; recognition rather than recall (Nielsen heuristic 6) — customers scan icons instead of reading full names.</w:t>
            </w:r>
          </w:p>
        </w:tc>
      </w:tr>
      <w:tr>
        <w:tc>
          <w:tcPr>
            <w:tcW w:type="dxa" w:w="2808"/>
          </w:tcPr>
          <w:p>
            <w:r>
              <w:rPr>
                <w:b w:val="false"/>
                <w:bCs w:val="false"/>
                <w:sz w:val="20"/>
                <w:szCs w:val="20"/>
              </w:rPr>
              <w:t xml:space="preserve">Animated “teh tarik pull” logo</w:t>
            </w:r>
          </w:p>
        </w:tc>
        <w:tc>
          <w:tcPr>
            <w:tcW w:type="dxa" w:w="1872"/>
          </w:tcPr>
          <w:p>
            <w:r>
              <w:rPr>
                <w:b w:val="false"/>
                <w:bCs w:val="false"/>
                <w:sz w:val="20"/>
                <w:szCs w:val="20"/>
              </w:rPr>
              <w:t xml:space="preserve">Splash</w:t>
            </w:r>
          </w:p>
        </w:tc>
        <w:tc>
          <w:tcPr>
            <w:tcW w:type="dxa" w:w="4680"/>
          </w:tcPr>
          <w:p>
            <w:r>
              <w:rPr>
                <w:b w:val="false"/>
                <w:bCs w:val="false"/>
                <w:sz w:val="20"/>
                <w:szCs w:val="20"/>
              </w:rPr>
              <w:t xml:space="preserve">A distinctive, culturally-grounded branding moment (two glasses, flowing stream) rather than a generic, templated icon — reinforces that this is a specific local business type.</w:t>
            </w:r>
          </w:p>
        </w:tc>
      </w:tr>
      <w:tr>
        <w:tc>
          <w:tcPr>
            <w:tcW w:type="dxa" w:w="2808"/>
          </w:tcPr>
          <w:p>
            <w:r>
              <w:rPr>
                <w:b w:val="false"/>
                <w:bCs w:val="false"/>
                <w:sz w:val="20"/>
                <w:szCs w:val="20"/>
              </w:rPr>
              <w:t xml:space="preserve">Category tabs with active-state highlighting</w:t>
            </w:r>
          </w:p>
        </w:tc>
        <w:tc>
          <w:tcPr>
            <w:tcW w:type="dxa" w:w="1872"/>
          </w:tcPr>
          <w:p>
            <w:r>
              <w:rPr>
                <w:b w:val="false"/>
                <w:bCs w:val="false"/>
                <w:sz w:val="20"/>
                <w:szCs w:val="20"/>
              </w:rPr>
              <w:t xml:space="preserve">Menu</w:t>
            </w:r>
          </w:p>
        </w:tc>
        <w:tc>
          <w:tcPr>
            <w:tcW w:type="dxa" w:w="4680"/>
          </w:tcPr>
          <w:p>
            <w:r>
              <w:rPr>
                <w:b w:val="false"/>
                <w:bCs w:val="false"/>
                <w:sz w:val="20"/>
                <w:szCs w:val="20"/>
              </w:rPr>
              <w:t xml:space="preserve">Reduces information density per screen; gives users control over what they see (heuristic: user control and freedom).</w:t>
            </w:r>
          </w:p>
        </w:tc>
      </w:tr>
      <w:tr>
        <w:tc>
          <w:tcPr>
            <w:tcW w:type="dxa" w:w="2808"/>
          </w:tcPr>
          <w:p>
            <w:r>
              <w:rPr>
                <w:b w:val="false"/>
                <w:bCs w:val="false"/>
                <w:sz w:val="20"/>
                <w:szCs w:val="20"/>
              </w:rPr>
              <w:t xml:space="preserve">Hover highlighting on all interactive elements</w:t>
            </w:r>
          </w:p>
        </w:tc>
        <w:tc>
          <w:tcPr>
            <w:tcW w:type="dxa" w:w="1872"/>
          </w:tcPr>
          <w:p>
            <w:r>
              <w:rPr>
                <w:b w:val="false"/>
                <w:bCs w:val="false"/>
                <w:sz w:val="20"/>
                <w:szCs w:val="20"/>
              </w:rPr>
              <w:t xml:space="preserve">All screens</w:t>
            </w:r>
          </w:p>
        </w:tc>
        <w:tc>
          <w:tcPr>
            <w:tcW w:type="dxa" w:w="4680"/>
          </w:tcPr>
          <w:p>
            <w:r>
              <w:rPr>
                <w:b w:val="false"/>
                <w:bCs w:val="false"/>
                <w:sz w:val="20"/>
                <w:szCs w:val="20"/>
              </w:rPr>
              <w:t xml:space="preserve">Communicates affordance before commitment — the user sees what is clickable before clicking it.</w:t>
            </w:r>
          </w:p>
        </w:tc>
      </w:tr>
      <w:tr>
        <w:tc>
          <w:tcPr>
            <w:tcW w:type="dxa" w:w="2808"/>
          </w:tcPr>
          <w:p>
            <w:r>
              <w:rPr>
                <w:b w:val="false"/>
                <w:bCs w:val="false"/>
                <w:sz w:val="20"/>
                <w:szCs w:val="20"/>
              </w:rPr>
              <w:t xml:space="preserve">Click “pulse” animation on item icons</w:t>
            </w:r>
          </w:p>
        </w:tc>
        <w:tc>
          <w:tcPr>
            <w:tcW w:type="dxa" w:w="1872"/>
          </w:tcPr>
          <w:p>
            <w:r>
              <w:rPr>
                <w:b w:val="false"/>
                <w:bCs w:val="false"/>
                <w:sz w:val="20"/>
                <w:szCs w:val="20"/>
              </w:rPr>
              <w:t xml:space="preserve">Menu</w:t>
            </w:r>
          </w:p>
        </w:tc>
        <w:tc>
          <w:tcPr>
            <w:tcW w:type="dxa" w:w="4680"/>
          </w:tcPr>
          <w:p>
            <w:r>
              <w:rPr>
                <w:b w:val="false"/>
                <w:bCs w:val="false"/>
                <w:sz w:val="20"/>
                <w:szCs w:val="20"/>
              </w:rPr>
              <w:t xml:space="preserve">Immediate visual feedback that input was registered (heuristic 1: visibility of system status).</w:t>
            </w:r>
          </w:p>
        </w:tc>
      </w:tr>
      <w:tr>
        <w:tc>
          <w:tcPr>
            <w:tcW w:type="dxa" w:w="2808"/>
          </w:tcPr>
          <w:p>
            <w:r>
              <w:rPr>
                <w:b w:val="false"/>
                <w:bCs w:val="false"/>
                <w:sz w:val="20"/>
                <w:szCs w:val="20"/>
              </w:rPr>
              <w:t xml:space="preserve">Persistent cart badge with live count</w:t>
            </w:r>
          </w:p>
        </w:tc>
        <w:tc>
          <w:tcPr>
            <w:tcW w:type="dxa" w:w="1872"/>
          </w:tcPr>
          <w:p>
            <w:r>
              <w:rPr>
                <w:b w:val="false"/>
                <w:bCs w:val="false"/>
                <w:sz w:val="20"/>
                <w:szCs w:val="20"/>
              </w:rPr>
              <w:t xml:space="preserve">Menu</w:t>
            </w:r>
          </w:p>
        </w:tc>
        <w:tc>
          <w:tcPr>
            <w:tcW w:type="dxa" w:w="4680"/>
          </w:tcPr>
          <w:p>
            <w:r>
              <w:rPr>
                <w:b w:val="false"/>
                <w:bCs w:val="false"/>
                <w:sz w:val="20"/>
                <w:szCs w:val="20"/>
              </w:rPr>
              <w:t xml:space="preserve">System status remains visible at all times without requiring navigation away from the current task.</w:t>
            </w:r>
          </w:p>
        </w:tc>
      </w:tr>
      <w:tr>
        <w:tc>
          <w:tcPr>
            <w:tcW w:type="dxa" w:w="2808"/>
          </w:tcPr>
          <w:p>
            <w:r>
              <w:rPr>
                <w:b w:val="false"/>
                <w:bCs w:val="false"/>
                <w:sz w:val="20"/>
                <w:szCs w:val="20"/>
              </w:rPr>
              <w:t xml:space="preserve">Progress breadcrumb (Menu → Cart → Confirm → Receipt)</w:t>
            </w:r>
          </w:p>
        </w:tc>
        <w:tc>
          <w:tcPr>
            <w:tcW w:type="dxa" w:w="1872"/>
          </w:tcPr>
          <w:p>
            <w:r>
              <w:rPr>
                <w:b w:val="false"/>
                <w:bCs w:val="false"/>
                <w:sz w:val="20"/>
                <w:szCs w:val="20"/>
              </w:rPr>
              <w:t xml:space="preserve">Menu, Cart</w:t>
            </w:r>
          </w:p>
        </w:tc>
        <w:tc>
          <w:tcPr>
            <w:tcW w:type="dxa" w:w="4680"/>
          </w:tcPr>
          <w:p>
            <w:r>
              <w:rPr>
                <w:b w:val="false"/>
                <w:bCs w:val="false"/>
                <w:sz w:val="20"/>
                <w:szCs w:val="20"/>
              </w:rPr>
              <w:t xml:space="preserve">Gives users a mental model of where they are in a multi-step process, reducing disorientation.</w:t>
            </w:r>
          </w:p>
        </w:tc>
      </w:tr>
      <w:tr>
        <w:tc>
          <w:tcPr>
            <w:tcW w:type="dxa" w:w="2808"/>
          </w:tcPr>
          <w:p>
            <w:r>
              <w:rPr>
                <w:b w:val="false"/>
                <w:bCs w:val="false"/>
                <w:sz w:val="20"/>
                <w:szCs w:val="20"/>
              </w:rPr>
              <w:t xml:space="preserve">Quantity stepper controls</w:t>
            </w:r>
          </w:p>
        </w:tc>
        <w:tc>
          <w:tcPr>
            <w:tcW w:type="dxa" w:w="1872"/>
          </w:tcPr>
          <w:p>
            <w:r>
              <w:rPr>
                <w:b w:val="false"/>
                <w:bCs w:val="false"/>
                <w:sz w:val="20"/>
                <w:szCs w:val="20"/>
              </w:rPr>
              <w:t xml:space="preserve">Cart</w:t>
            </w:r>
          </w:p>
        </w:tc>
        <w:tc>
          <w:tcPr>
            <w:tcW w:type="dxa" w:w="4680"/>
          </w:tcPr>
          <w:p>
            <w:r>
              <w:rPr>
                <w:b w:val="false"/>
                <w:bCs w:val="false"/>
                <w:sz w:val="20"/>
                <w:szCs w:val="20"/>
              </w:rPr>
              <w:t xml:space="preserve">Direct manipulation of order contents; supports easy error recovery (reduce a quantity) without deleting and re-adding an item.</w:t>
            </w:r>
          </w:p>
        </w:tc>
      </w:tr>
      <w:tr>
        <w:tc>
          <w:tcPr>
            <w:tcW w:type="dxa" w:w="2808"/>
          </w:tcPr>
          <w:p>
            <w:r>
              <w:rPr>
                <w:b w:val="false"/>
                <w:bCs w:val="false"/>
                <w:sz w:val="20"/>
                <w:szCs w:val="20"/>
              </w:rPr>
              <w:t xml:space="preserve">Disabled/greyed checkout button when cart is empty</w:t>
            </w:r>
          </w:p>
        </w:tc>
        <w:tc>
          <w:tcPr>
            <w:tcW w:type="dxa" w:w="1872"/>
          </w:tcPr>
          <w:p>
            <w:r>
              <w:rPr>
                <w:b w:val="false"/>
                <w:bCs w:val="false"/>
                <w:sz w:val="20"/>
                <w:szCs w:val="20"/>
              </w:rPr>
              <w:t xml:space="preserve">Cart</w:t>
            </w:r>
          </w:p>
        </w:tc>
        <w:tc>
          <w:tcPr>
            <w:tcW w:type="dxa" w:w="4680"/>
          </w:tcPr>
          <w:p>
            <w:r>
              <w:rPr>
                <w:b w:val="false"/>
                <w:bCs w:val="false"/>
                <w:sz w:val="20"/>
                <w:szCs w:val="20"/>
              </w:rPr>
              <w:t xml:space="preserve">Error prevention (heuristic 5) — an invalid action is prevented rather than attempted and then rejected.</w:t>
            </w:r>
          </w:p>
        </w:tc>
      </w:tr>
      <w:tr>
        <w:tc>
          <w:tcPr>
            <w:tcW w:type="dxa" w:w="2808"/>
          </w:tcPr>
          <w:p>
            <w:r>
              <w:rPr>
                <w:b w:val="false"/>
                <w:bCs w:val="false"/>
                <w:sz w:val="20"/>
                <w:szCs w:val="20"/>
              </w:rPr>
              <w:t xml:space="preserve">Stroke-by-stroke animated checkmark</w:t>
            </w:r>
          </w:p>
        </w:tc>
        <w:tc>
          <w:tcPr>
            <w:tcW w:type="dxa" w:w="1872"/>
          </w:tcPr>
          <w:p>
            <w:r>
              <w:rPr>
                <w:b w:val="false"/>
                <w:bCs w:val="false"/>
                <w:sz w:val="20"/>
                <w:szCs w:val="20"/>
              </w:rPr>
              <w:t xml:space="preserve">Confirmation</w:t>
            </w:r>
          </w:p>
        </w:tc>
        <w:tc>
          <w:tcPr>
            <w:tcW w:type="dxa" w:w="4680"/>
          </w:tcPr>
          <w:p>
            <w:r>
              <w:rPr>
                <w:b w:val="false"/>
                <w:bCs w:val="false"/>
                <w:sz w:val="20"/>
                <w:szCs w:val="20"/>
              </w:rPr>
              <w:t xml:space="preserve">Draws attention to a significant state change (order placed) rather than an abrupt, easy-to-miss static icon.</w:t>
            </w:r>
          </w:p>
        </w:tc>
      </w:tr>
      <w:tr>
        <w:tc>
          <w:tcPr>
            <w:tcW w:type="dxa" w:w="2808"/>
          </w:tcPr>
          <w:p>
            <w:r>
              <w:rPr>
                <w:b w:val="false"/>
                <w:bCs w:val="false"/>
                <w:sz w:val="20"/>
                <w:szCs w:val="20"/>
              </w:rPr>
              <w:t xml:space="preserve">Screen fade transitions</w:t>
            </w:r>
          </w:p>
        </w:tc>
        <w:tc>
          <w:tcPr>
            <w:tcW w:type="dxa" w:w="1872"/>
          </w:tcPr>
          <w:p>
            <w:r>
              <w:rPr>
                <w:b w:val="false"/>
                <w:bCs w:val="false"/>
                <w:sz w:val="20"/>
                <w:szCs w:val="20"/>
              </w:rPr>
              <w:t xml:space="preserve">All screens</w:t>
            </w:r>
          </w:p>
        </w:tc>
        <w:tc>
          <w:tcPr>
            <w:tcW w:type="dxa" w:w="4680"/>
          </w:tcPr>
          <w:p>
            <w:r>
              <w:rPr>
                <w:b w:val="false"/>
                <w:bCs w:val="false"/>
                <w:sz w:val="20"/>
                <w:szCs w:val="20"/>
              </w:rPr>
              <w:t xml:space="preserve">Preserves continuity between screens (match between system and real world / reduces jarring context switches).</w:t>
            </w:r>
          </w:p>
        </w:tc>
      </w:tr>
      <w:tr>
        <w:tc>
          <w:tcPr>
            <w:tcW w:type="dxa" w:w="2808"/>
          </w:tcPr>
          <w:p>
            <w:r>
              <w:rPr>
                <w:b w:val="false"/>
                <w:bCs w:val="false"/>
                <w:sz w:val="20"/>
                <w:szCs w:val="20"/>
              </w:rPr>
              <w:t xml:space="preserve">Skeuomorphic “printing” receipt animation</w:t>
            </w:r>
          </w:p>
        </w:tc>
        <w:tc>
          <w:tcPr>
            <w:tcW w:type="dxa" w:w="1872"/>
          </w:tcPr>
          <w:p>
            <w:r>
              <w:rPr>
                <w:b w:val="false"/>
                <w:bCs w:val="false"/>
                <w:sz w:val="20"/>
                <w:szCs w:val="20"/>
              </w:rPr>
              <w:t xml:space="preserve">Receipt</w:t>
            </w:r>
          </w:p>
        </w:tc>
        <w:tc>
          <w:tcPr>
            <w:tcW w:type="dxa" w:w="4680"/>
          </w:tcPr>
          <w:p>
            <w:r>
              <w:rPr>
                <w:b w:val="false"/>
                <w:bCs w:val="false"/>
                <w:sz w:val="20"/>
                <w:szCs w:val="20"/>
              </w:rPr>
              <w:t xml:space="preserve">Mirrors a familiar real-world artefact (a paper receipt), aiding recognition and building user trust in the system's output.</w:t>
            </w:r>
          </w:p>
        </w:tc>
      </w:tr>
    </w:tbl>
    <w:p>
      <w:pPr>
        <w:pStyle w:val="Heading1"/>
        <w:spacing w:after="150" w:before="300"/>
      </w:pPr>
      <w:r>
        <w:t xml:space="preserve">6. Audio Design Techniques and Rationale</w:t>
      </w:r>
    </w:p>
    <w:p>
      <w:pPr>
        <w:spacing w:after="160"/>
      </w:pPr>
      <w:r>
        <w:t xml:space="preserve">Audio was designed as a second, parallel feedback channel — not decoration. Each sound is mapped to a specific event so it can be reasoned about independently of the visuals.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4867"/>
      </w:tblGrid>
      <w:tr>
        <w:trPr>
          <w:tblHeader/>
        </w:trPr>
        <w:tc>
          <w:tcPr>
            <w:tcW w:type="dxa" w:w="2246"/>
            <w:shd w:fill="5B3A1B" w:color="auto" w:val="clear"/>
          </w:tcPr>
          <w:p>
            <w:r>
              <w:rPr>
                <w:b/>
                <w:bCs/>
                <w:color w:val="FFFFFF"/>
                <w:sz w:val="20"/>
                <w:szCs w:val="20"/>
              </w:rPr>
              <w:t xml:space="preserve">Sound</w:t>
            </w:r>
          </w:p>
        </w:tc>
        <w:tc>
          <w:tcPr>
            <w:tcW w:type="dxa" w:w="2246"/>
            <w:shd w:fill="5B3A1B" w:color="auto" w:val="clear"/>
          </w:tcPr>
          <w:p>
            <w:r>
              <w:rPr>
                <w:b/>
                <w:bCs/>
                <w:color w:val="FFFFFF"/>
                <w:sz w:val="20"/>
                <w:szCs w:val="20"/>
              </w:rPr>
              <w:t xml:space="preserve">Trigger</w:t>
            </w:r>
          </w:p>
        </w:tc>
        <w:tc>
          <w:tcPr>
            <w:tcW w:type="dxa" w:w="4867"/>
            <w:shd w:fill="5B3A1B" w:color="auto" w:val="clear"/>
          </w:tcPr>
          <w:p>
            <w:r>
              <w:rPr>
                <w:b/>
                <w:bCs/>
                <w:color w:val="FFFFFF"/>
                <w:sz w:val="20"/>
                <w:szCs w:val="20"/>
              </w:rPr>
              <w:t xml:space="preserve">HCI Rationale</w:t>
            </w:r>
          </w:p>
        </w:tc>
      </w:tr>
      <w:tr>
        <w:tc>
          <w:tcPr>
            <w:tcW w:type="dxa" w:w="2246"/>
          </w:tcPr>
          <w:p>
            <w:r>
              <w:rPr>
                <w:b w:val="false"/>
                <w:bCs w:val="false"/>
                <w:sz w:val="20"/>
                <w:szCs w:val="20"/>
              </w:rPr>
              <w:t xml:space="preserve">Short click blip</w:t>
            </w:r>
          </w:p>
        </w:tc>
        <w:tc>
          <w:tcPr>
            <w:tcW w:type="dxa" w:w="2246"/>
          </w:tcPr>
          <w:p>
            <w:r>
              <w:rPr>
                <w:b w:val="false"/>
                <w:bCs w:val="false"/>
                <w:sz w:val="20"/>
                <w:szCs w:val="20"/>
              </w:rPr>
              <w:t xml:space="preserve">Any button/menu-item tap</w:t>
            </w:r>
          </w:p>
        </w:tc>
        <w:tc>
          <w:tcPr>
            <w:tcW w:type="dxa" w:w="4867"/>
          </w:tcPr>
          <w:p>
            <w:r>
              <w:rPr>
                <w:b w:val="false"/>
                <w:bCs w:val="false"/>
                <w:sz w:val="20"/>
                <w:szCs w:val="20"/>
              </w:rPr>
              <w:t xml:space="preserve">Confirms input was registered even if the user's visual attention has already moved on — useful for fast, repeated interactions.</w:t>
            </w:r>
          </w:p>
        </w:tc>
      </w:tr>
      <w:tr>
        <w:tc>
          <w:tcPr>
            <w:tcW w:type="dxa" w:w="2246"/>
          </w:tcPr>
          <w:p>
            <w:r>
              <w:rPr>
                <w:b w:val="false"/>
                <w:bCs w:val="false"/>
                <w:sz w:val="20"/>
                <w:szCs w:val="20"/>
              </w:rPr>
              <w:t xml:space="preserve">Rising / falling stepper blips</w:t>
            </w:r>
          </w:p>
        </w:tc>
        <w:tc>
          <w:tcPr>
            <w:tcW w:type="dxa" w:w="2246"/>
          </w:tcPr>
          <w:p>
            <w:r>
              <w:rPr>
                <w:b w:val="false"/>
                <w:bCs w:val="false"/>
                <w:sz w:val="20"/>
                <w:szCs w:val="20"/>
              </w:rPr>
              <w:t xml:space="preserve">Cart quantity +/−</w:t>
            </w:r>
          </w:p>
        </w:tc>
        <w:tc>
          <w:tcPr>
            <w:tcW w:type="dxa" w:w="4867"/>
          </w:tcPr>
          <w:p>
            <w:r>
              <w:rPr>
                <w:b w:val="false"/>
                <w:bCs w:val="false"/>
                <w:sz w:val="20"/>
                <w:szCs w:val="20"/>
              </w:rPr>
              <w:t xml:space="preserve">Distinguishes an increase from a decrease by pitch direction alone, without requiring the user to look at the number.</w:t>
            </w:r>
          </w:p>
        </w:tc>
      </w:tr>
      <w:tr>
        <w:tc>
          <w:tcPr>
            <w:tcW w:type="dxa" w:w="2246"/>
          </w:tcPr>
          <w:p>
            <w:r>
              <w:rPr>
                <w:b w:val="false"/>
                <w:bCs w:val="false"/>
                <w:sz w:val="20"/>
                <w:szCs w:val="20"/>
              </w:rPr>
              <w:t xml:space="preserve">Whoosh sweep</w:t>
            </w:r>
          </w:p>
        </w:tc>
        <w:tc>
          <w:tcPr>
            <w:tcW w:type="dxa" w:w="2246"/>
          </w:tcPr>
          <w:p>
            <w:r>
              <w:rPr>
                <w:b w:val="false"/>
                <w:bCs w:val="false"/>
                <w:sz w:val="20"/>
                <w:szCs w:val="20"/>
              </w:rPr>
              <w:t xml:space="preserve">Every screen transition</w:t>
            </w:r>
          </w:p>
        </w:tc>
        <w:tc>
          <w:tcPr>
            <w:tcW w:type="dxa" w:w="4867"/>
          </w:tcPr>
          <w:p>
            <w:r>
              <w:rPr>
                <w:b w:val="false"/>
                <w:bCs w:val="false"/>
                <w:sz w:val="20"/>
                <w:szCs w:val="20"/>
              </w:rPr>
              <w:t xml:space="preserve">Signals navigation has occurred, reinforcing the visual fade and helping users notice a screen change even with peripheral attention.</w:t>
            </w:r>
          </w:p>
        </w:tc>
      </w:tr>
      <w:tr>
        <w:tc>
          <w:tcPr>
            <w:tcW w:type="dxa" w:w="2246"/>
          </w:tcPr>
          <w:p>
            <w:r>
              <w:rPr>
                <w:b w:val="false"/>
                <w:bCs w:val="false"/>
                <w:sz w:val="20"/>
                <w:szCs w:val="20"/>
              </w:rPr>
              <w:t xml:space="preserve">Two-tone confirmation chime</w:t>
            </w:r>
          </w:p>
        </w:tc>
        <w:tc>
          <w:tcPr>
            <w:tcW w:type="dxa" w:w="2246"/>
          </w:tcPr>
          <w:p>
            <w:r>
              <w:rPr>
                <w:b w:val="false"/>
                <w:bCs w:val="false"/>
                <w:sz w:val="20"/>
                <w:szCs w:val="20"/>
              </w:rPr>
              <w:t xml:space="preserve">Checkout confirmed</w:t>
            </w:r>
          </w:p>
        </w:tc>
        <w:tc>
          <w:tcPr>
            <w:tcW w:type="dxa" w:w="4867"/>
          </w:tcPr>
          <w:p>
            <w:r>
              <w:rPr>
                <w:b w:val="false"/>
                <w:bCs w:val="false"/>
                <w:sz w:val="20"/>
                <w:szCs w:val="20"/>
              </w:rPr>
              <w:t xml:space="preserve">Deliberately distinct from the routine click sound — signals a different class of event (order placed, not just item added).</w:t>
            </w:r>
          </w:p>
        </w:tc>
      </w:tr>
      <w:tr>
        <w:tc>
          <w:tcPr>
            <w:tcW w:type="dxa" w:w="2246"/>
          </w:tcPr>
          <w:p>
            <w:r>
              <w:rPr>
                <w:b w:val="false"/>
                <w:bCs w:val="false"/>
                <w:sz w:val="20"/>
                <w:szCs w:val="20"/>
              </w:rPr>
              <w:t xml:space="preserve">Mechanical tick</w:t>
            </w:r>
          </w:p>
        </w:tc>
        <w:tc>
          <w:tcPr>
            <w:tcW w:type="dxa" w:w="2246"/>
          </w:tcPr>
          <w:p>
            <w:r>
              <w:rPr>
                <w:b w:val="false"/>
                <w:bCs w:val="false"/>
                <w:sz w:val="20"/>
                <w:szCs w:val="20"/>
              </w:rPr>
              <w:t xml:space="preserve">Each receipt line “printing” in</w:t>
            </w:r>
          </w:p>
        </w:tc>
        <w:tc>
          <w:tcPr>
            <w:tcW w:type="dxa" w:w="4867"/>
          </w:tcPr>
          <w:p>
            <w:r>
              <w:rPr>
                <w:b w:val="false"/>
                <w:bCs w:val="false"/>
                <w:sz w:val="20"/>
                <w:szCs w:val="20"/>
              </w:rPr>
              <w:t xml:space="preserve">Paces the reveal of information and mirrors a familiar real-world sound (a receipt printer), reinforcing the skeuomorphic visual.</w:t>
            </w:r>
          </w:p>
        </w:tc>
      </w:tr>
      <w:tr>
        <w:tc>
          <w:tcPr>
            <w:tcW w:type="dxa" w:w="2246"/>
          </w:tcPr>
          <w:p>
            <w:r>
              <w:rPr>
                <w:b w:val="false"/>
                <w:bCs w:val="false"/>
                <w:sz w:val="20"/>
                <w:szCs w:val="20"/>
              </w:rPr>
              <w:t xml:space="preserve">Looping layered ambient pad</w:t>
            </w:r>
          </w:p>
        </w:tc>
        <w:tc>
          <w:tcPr>
            <w:tcW w:type="dxa" w:w="2246"/>
          </w:tcPr>
          <w:p>
            <w:r>
              <w:rPr>
                <w:b w:val="false"/>
                <w:bCs w:val="false"/>
                <w:sz w:val="20"/>
                <w:szCs w:val="20"/>
              </w:rPr>
              <w:t xml:space="preserve">Continuous, background</w:t>
            </w:r>
          </w:p>
        </w:tc>
        <w:tc>
          <w:tcPr>
            <w:tcW w:type="dxa" w:w="4867"/>
          </w:tcPr>
          <w:p>
            <w:r>
              <w:rPr>
                <w:b w:val="false"/>
                <w:bCs w:val="false"/>
                <w:sz w:val="20"/>
                <w:szCs w:val="20"/>
              </w:rPr>
              <w:t xml:space="preserve">Adds atmosphere consistent with a mamak stall setting; kept subtle (low volume) so it does not mask feedback sounds.</w:t>
            </w:r>
          </w:p>
        </w:tc>
      </w:tr>
      <w:tr>
        <w:tc>
          <w:tcPr>
            <w:tcW w:type="dxa" w:w="2246"/>
          </w:tcPr>
          <w:p>
            <w:r>
              <w:rPr>
                <w:b w:val="false"/>
                <w:bCs w:val="false"/>
                <w:sz w:val="20"/>
                <w:szCs w:val="20"/>
              </w:rPr>
              <w:t xml:space="preserve">Mute toggle (button + ‘M’ key)</w:t>
            </w:r>
          </w:p>
        </w:tc>
        <w:tc>
          <w:tcPr>
            <w:tcW w:type="dxa" w:w="2246"/>
          </w:tcPr>
          <w:p>
            <w:r>
              <w:rPr>
                <w:b w:val="false"/>
                <w:bCs w:val="false"/>
                <w:sz w:val="20"/>
                <w:szCs w:val="20"/>
              </w:rPr>
              <w:t xml:space="preserve">User-initiated, any time</w:t>
            </w:r>
          </w:p>
        </w:tc>
        <w:tc>
          <w:tcPr>
            <w:tcW w:type="dxa" w:w="4867"/>
          </w:tcPr>
          <w:p>
            <w:r>
              <w:rPr>
                <w:b w:val="false"/>
                <w:bCs w:val="false"/>
                <w:sz w:val="20"/>
                <w:szCs w:val="20"/>
              </w:rPr>
              <w:t xml:space="preserve">Respects user control (heuristic 3) — audio is never forced on a user who does not want it, including in a public kiosk setting.</w:t>
            </w:r>
          </w:p>
        </w:tc>
      </w:tr>
    </w:tbl>
    <w:p>
      <w:pPr>
        <w:pStyle w:val="Heading1"/>
        <w:spacing w:after="150" w:before="300"/>
      </w:pPr>
      <w:r>
        <w:t xml:space="preserve">7. Technical Implementation</w:t>
      </w:r>
    </w:p>
    <w:p>
      <w:pPr>
        <w:pStyle w:val="Heading2"/>
        <w:spacing w:after="100" w:before="200"/>
      </w:pPr>
      <w:r>
        <w:t xml:space="preserve">7.1 API and libraries</w:t>
      </w:r>
    </w:p>
    <w:p>
      <w:pPr>
        <w:spacing w:after="160"/>
      </w:pPr>
      <w:r>
        <w:t xml:space="preserve">Rendering and windowing use OpenGL via the PyOpenGL bindings, with GLUT providing the window, the double-buffered render loop, and mouse/keyboard callbacks — satisfying the assignment's requirement to build the interface on a standard graphics API. Audio playback uses pygame.mixer, chosen because it offers simple, reliable channel-based playback (needed for a looping ambient track alongside one-shot effects) without pulling in a full game-engine dependency.</w:t>
      </w:r>
    </w:p>
    <w:p>
      <w:pPr>
        <w:pStyle w:val="Heading2"/>
        <w:spacing w:after="100" w:before="200"/>
      </w:pPr>
      <w:r>
        <w:t xml:space="preserve">7.2 Vector icons over image assets</w:t>
      </w:r>
    </w:p>
    <w:p>
      <w:pPr>
        <w:spacing w:after="160"/>
      </w:pPr>
      <w:r>
        <w:t xml:space="preserve">Menu item icons (roti, murtabak, nasi lemak, noodles, teh tarik, kopi, iced drink) are drawn as procedural vector geometry directly through OpenGL primitives rather than imported image textures. This keeps the prototype dependency-free, demonstrates direct use of the graphics API for illustration (not just layout), and made it straightforward to animate the icons — most notably the splash screen's teh tarik pour, where an animated stream and droplets travel between two outlined glasses to depict the pulling motion the drink is named for.</w:t>
      </w:r>
    </w:p>
    <w:p>
      <w:pPr>
        <w:pStyle w:val="Heading2"/>
        <w:spacing w:after="100" w:before="200"/>
      </w:pPr>
      <w:r>
        <w:t xml:space="preserve">7.3 Procedural audio</w:t>
      </w:r>
    </w:p>
    <w:p>
      <w:pPr>
        <w:spacing w:after="160"/>
      </w:pPr>
      <w:r>
        <w:t xml:space="preserve">All sound effects are synthesised at build time from simple sine-wave tones and short noise bursts (see gen_assets.py), rather than sourced from external royalty-restricted libraries. This is explicitly a placeholder approach for the beta stage — see Section 9 — but it keeps the repository self-contained and licence-clean.</w:t>
      </w:r>
    </w:p>
    <w:p>
      <w:pPr>
        <w:pStyle w:val="Heading2"/>
        <w:spacing w:after="100" w:before="200"/>
      </w:pPr>
      <w:r>
        <w:t xml:space="preserve">7.4 Code architecture</w:t>
      </w:r>
    </w:p>
    <w:p>
      <w:pPr>
        <w:spacing w:after="160"/>
      </w:pPr>
      <w:r>
        <w:t xml:space="preserve">The codebase is split into small, single-responsibility modules:</w:t>
      </w:r>
    </w:p>
    <w:p>
      <w:pPr>
        <w:pStyle w:val="ListParagraph"/>
        <w:numPr>
          <w:ilvl w:val="0"/>
          <w:numId w:val="2"/>
        </w:numPr>
        <w:spacing w:after="80"/>
      </w:pPr>
      <w:r>
        <w:t xml:space="preserve">config.py — menu data, colours, layout constants, screen identifiers</w:t>
      </w:r>
    </w:p>
    <w:p>
      <w:pPr>
        <w:pStyle w:val="ListParagraph"/>
        <w:numPr>
          <w:ilvl w:val="0"/>
          <w:numId w:val="2"/>
        </w:numPr>
        <w:spacing w:after="80"/>
      </w:pPr>
      <w:r>
        <w:t xml:space="preserve">audio.py — AudioManager class wrapping pygame.mixer, with graceful degradation if no audio device is present</w:t>
      </w:r>
    </w:p>
    <w:p>
      <w:pPr>
        <w:pStyle w:val="ListParagraph"/>
        <w:numPr>
          <w:ilvl w:val="0"/>
          <w:numId w:val="2"/>
        </w:numPr>
        <w:spacing w:after="80"/>
      </w:pPr>
      <w:r>
        <w:t xml:space="preserve">shapes.py — procedural vector icon drawing functions</w:t>
      </w:r>
    </w:p>
    <w:p>
      <w:pPr>
        <w:pStyle w:val="ListParagraph"/>
        <w:numPr>
          <w:ilvl w:val="0"/>
          <w:numId w:val="2"/>
        </w:numPr>
        <w:spacing w:after="80"/>
      </w:pPr>
      <w:r>
        <w:t xml:space="preserve">main.py — the screen state machine, GLUT callbacks, and per-screen draw/input logic</w:t>
      </w:r>
    </w:p>
    <w:p>
      <w:pPr>
        <w:spacing w:after="160"/>
      </w:pPr>
      <w:r>
        <w:t xml:space="preserve">This separation was a deliberate refactor from the single-file tutorial version, making it easier to reason about (and mark) the visual layer, audio layer, and interaction logic independently.</w:t>
      </w:r>
    </w:p>
    <w:p>
      <w:pPr>
        <w:pStyle w:val="Heading1"/>
        <w:spacing w:after="150" w:before="300"/>
      </w:pPr>
      <w:r>
        <w:t xml:space="preserve">8. Heuristic Self-Evaluation</w:t>
      </w:r>
    </w:p>
    <w:p>
      <w:pPr>
        <w:spacing w:after="160"/>
      </w:pPr>
      <w:r>
        <w:t xml:space="preserve">The prototype was reviewed against Nielsen's ten usability heuristics as an informal internal check prior to any real user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5B3A1B" w:color="auto" w:val="clear"/>
          </w:tcPr>
          <w:p>
            <w:r>
              <w:rPr>
                <w:b/>
                <w:bCs/>
                <w:color w:val="FFFFFF"/>
                <w:sz w:val="20"/>
                <w:szCs w:val="20"/>
              </w:rPr>
              <w:t xml:space="preserve">Heuristic</w:t>
            </w:r>
          </w:p>
        </w:tc>
        <w:tc>
          <w:tcPr>
            <w:tcW w:type="dxa" w:w="6084"/>
            <w:shd w:fill="5B3A1B" w:color="auto" w:val="clear"/>
          </w:tcPr>
          <w:p>
            <w:r>
              <w:rPr>
                <w:b/>
                <w:bCs/>
                <w:color w:val="FFFFFF"/>
                <w:sz w:val="20"/>
                <w:szCs w:val="20"/>
              </w:rPr>
              <w:t xml:space="preserve">How it is addressed</w:t>
            </w:r>
          </w:p>
        </w:tc>
      </w:tr>
      <w:tr>
        <w:tc>
          <w:tcPr>
            <w:tcW w:type="dxa" w:w="3276"/>
          </w:tcPr>
          <w:p>
            <w:r>
              <w:rPr>
                <w:b w:val="false"/>
                <w:bCs w:val="false"/>
                <w:sz w:val="20"/>
                <w:szCs w:val="20"/>
              </w:rPr>
              <w:t xml:space="preserve">Visibility of system status</w:t>
            </w:r>
          </w:p>
        </w:tc>
        <w:tc>
          <w:tcPr>
            <w:tcW w:type="dxa" w:w="6084"/>
          </w:tcPr>
          <w:p>
            <w:r>
              <w:rPr>
                <w:b w:val="false"/>
                <w:bCs w:val="false"/>
                <w:sz w:val="20"/>
                <w:szCs w:val="20"/>
              </w:rPr>
              <w:t xml:space="preserve">Persistent cart badge, progress breadcrumb, hover states, click-pulse and confirmation animations.</w:t>
            </w:r>
          </w:p>
        </w:tc>
      </w:tr>
      <w:tr>
        <w:tc>
          <w:tcPr>
            <w:tcW w:type="dxa" w:w="3276"/>
          </w:tcPr>
          <w:p>
            <w:r>
              <w:rPr>
                <w:b w:val="false"/>
                <w:bCs w:val="false"/>
                <w:sz w:val="20"/>
                <w:szCs w:val="20"/>
              </w:rPr>
              <w:t xml:space="preserve">Match between system and real world</w:t>
            </w:r>
          </w:p>
        </w:tc>
        <w:tc>
          <w:tcPr>
            <w:tcW w:type="dxa" w:w="6084"/>
          </w:tcPr>
          <w:p>
            <w:r>
              <w:rPr>
                <w:b w:val="false"/>
                <w:bCs w:val="false"/>
                <w:sz w:val="20"/>
                <w:szCs w:val="20"/>
              </w:rPr>
              <w:t xml:space="preserve">Familiar mamak dish iconography, the teh tarik pouring animation, skeuomorphic receipt-printing animation, everyday terms (“Checkout”, “View Cart”), bilingual sign-off (“Terima kasih!”).</w:t>
            </w:r>
          </w:p>
        </w:tc>
      </w:tr>
      <w:tr>
        <w:tc>
          <w:tcPr>
            <w:tcW w:type="dxa" w:w="3276"/>
          </w:tcPr>
          <w:p>
            <w:r>
              <w:rPr>
                <w:b w:val="false"/>
                <w:bCs w:val="false"/>
                <w:sz w:val="20"/>
                <w:szCs w:val="20"/>
              </w:rPr>
              <w:t xml:space="preserve">User control and freedom</w:t>
            </w:r>
          </w:p>
        </w:tc>
        <w:tc>
          <w:tcPr>
            <w:tcW w:type="dxa" w:w="6084"/>
          </w:tcPr>
          <w:p>
            <w:r>
              <w:rPr>
                <w:b w:val="false"/>
                <w:bCs w:val="false"/>
                <w:sz w:val="20"/>
                <w:szCs w:val="20"/>
              </w:rPr>
              <w:t xml:space="preserve">Back-to-menu button on the cart screen; mute toggle; quantity can be decreased without deleting the item.</w:t>
            </w:r>
          </w:p>
        </w:tc>
      </w:tr>
      <w:tr>
        <w:tc>
          <w:tcPr>
            <w:tcW w:type="dxa" w:w="3276"/>
          </w:tcPr>
          <w:p>
            <w:r>
              <w:rPr>
                <w:b w:val="false"/>
                <w:bCs w:val="false"/>
                <w:sz w:val="20"/>
                <w:szCs w:val="20"/>
              </w:rPr>
              <w:t xml:space="preserve">Consistency and standards</w:t>
            </w:r>
          </w:p>
        </w:tc>
        <w:tc>
          <w:tcPr>
            <w:tcW w:type="dxa" w:w="6084"/>
          </w:tcPr>
          <w:p>
            <w:r>
              <w:rPr>
                <w:b w:val="false"/>
                <w:bCs w:val="false"/>
                <w:sz w:val="20"/>
                <w:szCs w:val="20"/>
              </w:rPr>
              <w:t xml:space="preserve">Shared button, colour, and typography conventions applied across all five screens.</w:t>
            </w:r>
          </w:p>
        </w:tc>
      </w:tr>
      <w:tr>
        <w:tc>
          <w:tcPr>
            <w:tcW w:type="dxa" w:w="3276"/>
          </w:tcPr>
          <w:p>
            <w:r>
              <w:rPr>
                <w:b w:val="false"/>
                <w:bCs w:val="false"/>
                <w:sz w:val="20"/>
                <w:szCs w:val="20"/>
              </w:rPr>
              <w:t xml:space="preserve">Error prevention</w:t>
            </w:r>
          </w:p>
        </w:tc>
        <w:tc>
          <w:tcPr>
            <w:tcW w:type="dxa" w:w="6084"/>
          </w:tcPr>
          <w:p>
            <w:r>
              <w:rPr>
                <w:b w:val="false"/>
                <w:bCs w:val="false"/>
                <w:sz w:val="20"/>
                <w:szCs w:val="20"/>
              </w:rPr>
              <w:t xml:space="preserve">Checkout button is disabled when the cart is empty rather than allowing an invalid checkout attempt.</w:t>
            </w:r>
          </w:p>
        </w:tc>
      </w:tr>
      <w:tr>
        <w:tc>
          <w:tcPr>
            <w:tcW w:type="dxa" w:w="3276"/>
          </w:tcPr>
          <w:p>
            <w:r>
              <w:rPr>
                <w:b w:val="false"/>
                <w:bCs w:val="false"/>
                <w:sz w:val="20"/>
                <w:szCs w:val="20"/>
              </w:rPr>
              <w:t xml:space="preserve">Recognition rather than recall</w:t>
            </w:r>
          </w:p>
        </w:tc>
        <w:tc>
          <w:tcPr>
            <w:tcW w:type="dxa" w:w="6084"/>
          </w:tcPr>
          <w:p>
            <w:r>
              <w:rPr>
                <w:b w:val="false"/>
                <w:bCs w:val="false"/>
                <w:sz w:val="20"/>
                <w:szCs w:val="20"/>
              </w:rPr>
              <w:t xml:space="preserve">Icon + colour-coded items; live cart badge means users never need to remember what they have already ordered.</w:t>
            </w:r>
          </w:p>
        </w:tc>
      </w:tr>
      <w:tr>
        <w:tc>
          <w:tcPr>
            <w:tcW w:type="dxa" w:w="3276"/>
          </w:tcPr>
          <w:p>
            <w:r>
              <w:rPr>
                <w:b w:val="false"/>
                <w:bCs w:val="false"/>
                <w:sz w:val="20"/>
                <w:szCs w:val="20"/>
              </w:rPr>
              <w:t xml:space="preserve">Flexibility and efficiency of use</w:t>
            </w:r>
          </w:p>
        </w:tc>
        <w:tc>
          <w:tcPr>
            <w:tcW w:type="dxa" w:w="6084"/>
          </w:tcPr>
          <w:p>
            <w:r>
              <w:rPr>
                <w:b w:val="false"/>
                <w:bCs w:val="false"/>
                <w:sz w:val="20"/>
                <w:szCs w:val="20"/>
              </w:rPr>
              <w:t xml:space="preserve">Category tabs let returning users jump straight to a familiar section.</w:t>
            </w:r>
          </w:p>
        </w:tc>
      </w:tr>
      <w:tr>
        <w:tc>
          <w:tcPr>
            <w:tcW w:type="dxa" w:w="3276"/>
          </w:tcPr>
          <w:p>
            <w:r>
              <w:rPr>
                <w:b w:val="false"/>
                <w:bCs w:val="false"/>
                <w:sz w:val="20"/>
                <w:szCs w:val="20"/>
              </w:rPr>
              <w:t xml:space="preserve">Aesthetic and minimalist design</w:t>
            </w:r>
          </w:p>
        </w:tc>
        <w:tc>
          <w:tcPr>
            <w:tcW w:type="dxa" w:w="6084"/>
          </w:tcPr>
          <w:p>
            <w:r>
              <w:rPr>
                <w:b w:val="false"/>
                <w:bCs w:val="false"/>
                <w:sz w:val="20"/>
                <w:szCs w:val="20"/>
              </w:rPr>
              <w:t xml:space="preserve">Warm, restrained palette drawing on mamak signage colours (red/gold); one primary task per screen instead of a single dense screen.</w:t>
            </w:r>
          </w:p>
        </w:tc>
      </w:tr>
      <w:tr>
        <w:tc>
          <w:tcPr>
            <w:tcW w:type="dxa" w:w="3276"/>
          </w:tcPr>
          <w:p>
            <w:r>
              <w:rPr>
                <w:b w:val="false"/>
                <w:bCs w:val="false"/>
                <w:sz w:val="20"/>
                <w:szCs w:val="20"/>
              </w:rPr>
              <w:t xml:space="preserve">Help users recognise, diagnose, and recover from errors</w:t>
            </w:r>
          </w:p>
        </w:tc>
        <w:tc>
          <w:tcPr>
            <w:tcW w:type="dxa" w:w="6084"/>
          </w:tcPr>
          <w:p>
            <w:r>
              <w:rPr>
                <w:b w:val="false"/>
                <w:bCs w:val="false"/>
                <w:sz w:val="20"/>
                <w:szCs w:val="20"/>
              </w:rPr>
              <w:t xml:space="preserve">Limited applicability at beta stage — noted as a gap in Section 9.</w:t>
            </w:r>
          </w:p>
        </w:tc>
      </w:tr>
      <w:tr>
        <w:tc>
          <w:tcPr>
            <w:tcW w:type="dxa" w:w="3276"/>
          </w:tcPr>
          <w:p>
            <w:r>
              <w:rPr>
                <w:b w:val="false"/>
                <w:bCs w:val="false"/>
                <w:sz w:val="20"/>
                <w:szCs w:val="20"/>
              </w:rPr>
              <w:t xml:space="preserve">Help and documentation</w:t>
            </w:r>
          </w:p>
        </w:tc>
        <w:tc>
          <w:tcPr>
            <w:tcW w:type="dxa" w:w="6084"/>
          </w:tcPr>
          <w:p>
            <w:r>
              <w:rPr>
                <w:b w:val="false"/>
                <w:bCs w:val="false"/>
                <w:sz w:val="20"/>
                <w:szCs w:val="20"/>
              </w:rPr>
              <w:t xml:space="preserve">Not yet implemented — noted as future work in Section 9.</w:t>
            </w:r>
          </w:p>
        </w:tc>
      </w:tr>
    </w:tbl>
    <w:p>
      <w:pPr>
        <w:pStyle w:val="Heading1"/>
        <w:spacing w:after="150" w:before="300"/>
      </w:pPr>
      <w:r>
        <w:t xml:space="preserve">9. Limitations and Future Work</w:t>
      </w:r>
    </w:p>
    <w:p>
      <w:pPr>
        <w:spacing w:after="160"/>
      </w:pPr>
      <w:r>
        <w:t xml:space="preserve">As a beta-stage prototype, several aspects are intentionally out of scope for this submission:</w:t>
      </w:r>
    </w:p>
    <w:p>
      <w:pPr>
        <w:pStyle w:val="ListParagraph"/>
        <w:numPr>
          <w:ilvl w:val="0"/>
          <w:numId w:val="2"/>
        </w:numPr>
        <w:spacing w:after="80"/>
      </w:pPr>
      <w:r>
        <w:t xml:space="preserve">No persistence — the cart and order history reset on checkout or application restart.</w:t>
      </w:r>
    </w:p>
    <w:p>
      <w:pPr>
        <w:pStyle w:val="ListParagraph"/>
        <w:numPr>
          <w:ilvl w:val="0"/>
          <w:numId w:val="2"/>
        </w:numPr>
        <w:spacing w:after="80"/>
      </w:pPr>
      <w:r>
        <w:t xml:space="preserve">No payment integration; the flow ends at a simulated receipt.</w:t>
      </w:r>
    </w:p>
    <w:p>
      <w:pPr>
        <w:pStyle w:val="ListParagraph"/>
        <w:numPr>
          <w:ilvl w:val="0"/>
          <w:numId w:val="2"/>
        </w:numPr>
        <w:spacing w:after="80"/>
      </w:pPr>
      <w:r>
        <w:t xml:space="preserve">Audio assets are procedurally generated placeholder tones, not real recorded stall audio.</w:t>
      </w:r>
    </w:p>
    <w:p>
      <w:pPr>
        <w:pStyle w:val="ListParagraph"/>
        <w:numPr>
          <w:ilvl w:val="0"/>
          <w:numId w:val="2"/>
        </w:numPr>
        <w:spacing w:after="80"/>
      </w:pPr>
      <w:r>
        <w:t xml:space="preserve">No formal usability testing with real target users has yet been conducted — the evaluation in Section 8 is a self-administered heuristic review, not empirical data.</w:t>
      </w:r>
    </w:p>
    <w:p>
      <w:pPr>
        <w:pStyle w:val="ListParagraph"/>
        <w:numPr>
          <w:ilvl w:val="0"/>
          <w:numId w:val="2"/>
        </w:numPr>
        <w:spacing w:after="80"/>
      </w:pPr>
      <w:r>
        <w:t xml:space="preserve">Layout assumes a roughly fixed kiosk-style window size and has not been tested for touch-target sizing on an actual touchscreen.</w:t>
      </w:r>
    </w:p>
    <w:p>
      <w:pPr>
        <w:pStyle w:val="ListParagraph"/>
        <w:numPr>
          <w:ilvl w:val="0"/>
          <w:numId w:val="2"/>
        </w:numPr>
        <w:spacing w:after="80"/>
      </w:pPr>
      <w:r>
        <w:t xml:space="preserve">No accessibility features yet (e.g. screen-reader support, adjustable text size, high-contrast mode, Bahasa Malaysia language toggle).</w:t>
      </w:r>
    </w:p>
    <w:p>
      <w:pPr>
        <w:pStyle w:val="ListParagraph"/>
        <w:numPr>
          <w:ilvl w:val="0"/>
          <w:numId w:val="2"/>
        </w:numPr>
        <w:spacing w:after="80"/>
      </w:pPr>
      <w:r>
        <w:t xml:space="preserve">Menu items, categories, and prices are illustrative and not based on any specific real stall's actual offerings or pricing.</w:t>
      </w:r>
    </w:p>
    <w:p>
      <w:pPr>
        <w:spacing w:after="160"/>
      </w:pPr>
      <w:r>
        <w:t xml:space="preserve">Planned next steps: replace placeholder audio with real recorded sounds; add item customisation (spice level, roti fillings, add-ons); run a moderated usability test with a small group of representative users and iterate on button sizing and flow based on findings; add basic accessibility support including a Bahasa Malaysia language toggle, appropriate given the target user base.</w:t>
      </w:r>
    </w:p>
    <w:p>
      <w:pPr>
        <w:pStyle w:val="Heading1"/>
        <w:spacing w:after="150" w:before="300"/>
      </w:pPr>
      <w:r>
        <w:t xml:space="preserve">10. Conclusion</w:t>
      </w:r>
    </w:p>
    <w:p>
      <w:pPr>
        <w:spacing w:after="160"/>
      </w:pPr>
      <w:r>
        <w:t xml:space="preserve">This prototype demonstrates a multi-screen kiosk interface for a local mamak stall, built directly on the OpenGL graphics API, in which every visual state change is paired with a deliberate, distinct audio cue. The design decisions throughout — from icon-based recognition to disabled-state error prevention to the layered click/whoosh/chime/tick audio vocabulary, to the culturally-grounded teh tarik pouring animation and 5-sen cash rounding — were made with reference to established HCI heuristics and to the specific, real-world conventions of the local organisation type, rather than as arbitrary styling choices. The beta version fulfils the assignment brief; Section 9 outlines a clear path from this prototype to a user-tested, production-ready kiosk.</w:t>
      </w:r>
    </w:p>
    <w:p>
      <w:pPr>
        <w:pStyle w:val="Heading1"/>
        <w:spacing w:after="150" w:before="300"/>
      </w:pPr>
      <w:r>
        <w:t xml:space="preserve">References</w:t>
      </w:r>
    </w:p>
    <w:p>
      <w:pPr>
        <w:spacing w:after="160"/>
      </w:pPr>
      <w:r>
        <w:t xml:space="preserve">Nielsen, J. (1994) Heuristic Evaluation. In: Nielsen, J. and Mack, R.L. (eds) Usability Inspection Methods. New York: John Wiley &amp; Sons.</w:t>
      </w:r>
    </w:p>
    <w:p>
      <w:pPr>
        <w:spacing w:after="160"/>
      </w:pPr>
      <w:r>
        <w:t xml:space="preserve">Norman, D.A. (2013) The Design of Everyday Things. Revised and Expanded Edition. New York: Basic Books.</w:t>
      </w:r>
    </w:p>
    <w:p>
      <w:pPr>
        <w:spacing w:after="160"/>
      </w:pPr>
      <w:r>
        <w:t xml:space="preserve">Lidwell, W., Holden, K. and Butler, J. (2010) Universal Principles of Design. Revised and Updated Edition. Beverly, MA: Rockport Publishers.</w:t>
      </w:r>
    </w:p>
    <w:p>
      <w:pPr>
        <w:spacing w:after="160"/>
      </w:pPr>
      <w:r>
        <w:t xml:space="preserve">Khronos Group (n.d.) OpenGL Registry and Documentation. Available at: https://www.khronos.org/opengl/ (Accessed: [insert access date]).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2026-07-03T19:08:45.327Z</dcterms:created>
  <dcterms:modified xsi:type="dcterms:W3CDTF">2026-07-03T19:08:45.340Z</dcterms:modified>
</cp:coreProperties>
</file>

<file path=docProps/custom.xml><?xml version="1.0" encoding="utf-8"?>
<Properties xmlns="http://schemas.openxmlformats.org/officeDocument/2006/custom-properties" xmlns:vt="http://schemas.openxmlformats.org/officeDocument/2006/docPropsVTypes"/>
</file>