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"Peta SPBG Gasku: Di Mana Isi BBG &amp; Cara Rencanakan Rute"</w:t>
      </w:r>
      <w:r>
        <w:br/>
      </w:r>
      <w:r>
        <w:rPr>
          <w:rStyle w:val="FunctionTok"/>
        </w:rPr>
        <w:t xml:space="preserve">meta_title</w:t>
      </w:r>
      <w:r>
        <w:rPr>
          <w:rStyle w:val="KeywordTok"/>
        </w:rPr>
        <w:t xml:space="preserve">:</w:t>
      </w:r>
      <w:r>
        <w:rPr>
          <w:rStyle w:val="AttributeTok"/>
        </w:rPr>
        <w:t xml:space="preserve"> </w:t>
      </w:r>
      <w:r>
        <w:rPr>
          <w:rStyle w:val="StringTok"/>
        </w:rPr>
        <w:t xml:space="preserve">"Peta SPBG Gasku: Di Mana Isi BBG Kendaraan"</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lokasi SPBG Gasku dan cara merencanakan rute kendaraan BBG: sebaran wilayah, jarak tempuh per LSP, MRU, serta Bi-Fuel sebagai jaring pengaman."</w:t>
      </w:r>
      <w:r>
        <w:br/>
      </w:r>
      <w:r>
        <w:rPr>
          <w:rStyle w:val="FunctionTok"/>
        </w:rPr>
        <w:t xml:space="preserve">slug</w:t>
      </w:r>
      <w:r>
        <w:rPr>
          <w:rStyle w:val="KeywordTok"/>
        </w:rPr>
        <w:t xml:space="preserve">:</w:t>
      </w:r>
      <w:r>
        <w:rPr>
          <w:rStyle w:val="AttributeTok"/>
        </w:rPr>
        <w:t xml:space="preserve"> </w:t>
      </w:r>
      <w:r>
        <w:rPr>
          <w:rStyle w:val="StringTok"/>
        </w:rPr>
        <w:t xml:space="preserve">"peta-spbg-gasku-lokasi-isi-bbg-rencana-rute"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"lokasi SPBG"</w:t>
      </w:r>
      <w:r>
        <w:rPr>
          <w:rStyle w:val="KeywordTok"/>
        </w:rPr>
        <w:t xml:space="preserve">,</w:t>
      </w:r>
      <w:r>
        <w:rPr>
          <w:rStyle w:val="AttributeTok"/>
        </w:rPr>
        <w:t xml:space="preserve"> </w:t>
      </w:r>
      <w:r>
        <w:rPr>
          <w:rStyle w:val="StringTok"/>
        </w:rPr>
        <w:t xml:space="preserve">"isi BBG di mana"</w:t>
      </w:r>
      <w:r>
        <w:rPr>
          <w:rStyle w:val="KeywordTok"/>
        </w:rPr>
        <w:t xml:space="preserve">,</w:t>
      </w:r>
      <w:r>
        <w:rPr>
          <w:rStyle w:val="AttributeTok"/>
        </w:rPr>
        <w:t xml:space="preserve"> </w:t>
      </w:r>
      <w:r>
        <w:rPr>
          <w:rStyle w:val="StringTok"/>
        </w:rPr>
        <w:t xml:space="preserve">"MRU Mobile Refueling Unit"</w:t>
      </w:r>
      <w:r>
        <w:rPr>
          <w:rStyle w:val="KeywordTok"/>
        </w:rPr>
        <w:t xml:space="preserve">,</w:t>
      </w:r>
      <w:r>
        <w:rPr>
          <w:rStyle w:val="AttributeTok"/>
        </w:rPr>
        <w:t xml:space="preserve"> </w:t>
      </w:r>
      <w:r>
        <w:rPr>
          <w:rStyle w:val="StringTok"/>
        </w:rPr>
        <w:t xml:space="preserve">"jarak tempuh CNG per LSP"</w:t>
      </w:r>
      <w:r>
        <w:rPr>
          <w:rStyle w:val="KeywordTok"/>
        </w:rPr>
        <w:t xml:space="preserve">,</w:t>
      </w:r>
      <w:r>
        <w:rPr>
          <w:rStyle w:val="AttributeTok"/>
        </w:rPr>
        <w:t xml:space="preserve"> </w:t>
      </w:r>
      <w:r>
        <w:rPr>
          <w:rStyle w:val="StringTok"/>
        </w:rPr>
        <w:t xml:space="preserve">"range anxiety kendaraan gas"</w:t>
      </w:r>
      <w:r>
        <w:rPr>
          <w:rStyle w:val="KeywordTok"/>
        </w:rPr>
        <w:t xml:space="preserve">,</w:t>
      </w:r>
      <w:r>
        <w:rPr>
          <w:rStyle w:val="AttributeTok"/>
        </w:rPr>
        <w:t xml:space="preserve"> </w:t>
      </w:r>
      <w:r>
        <w:rPr>
          <w:rStyle w:val="StringTok"/>
        </w:rPr>
        <w:t xml:space="preserve">"sistem Bi-Fuel"</w:t>
      </w:r>
      <w:r>
        <w:rPr>
          <w:rStyle w:val="KeywordTok"/>
        </w:rPr>
        <w:t xml:space="preserve">,</w:t>
      </w:r>
      <w:r>
        <w:rPr>
          <w:rStyle w:val="AttributeTok"/>
        </w:rPr>
        <w:t xml:space="preserve"> </w:t>
      </w:r>
      <w:r>
        <w:rPr>
          <w:rStyle w:val="StringTok"/>
        </w:rPr>
        <w:t xml:space="preserve">"perencanaan rute BBG"</w:t>
      </w:r>
      <w:r>
        <w:rPr>
          <w:rStyle w:val="KeywordTok"/>
        </w:rPr>
        <w:t xml:space="preserve">,</w:t>
      </w:r>
      <w:r>
        <w:rPr>
          <w:rStyle w:val="AttributeTok"/>
        </w:rPr>
        <w:t xml:space="preserve"> </w:t>
      </w:r>
      <w:r>
        <w:rPr>
          <w:rStyle w:val="StringTok"/>
        </w:rPr>
        <w:t xml:space="preserve">"SPBG Ngagel Surabaya"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"https://migas.esdm.go.id/post/empat-mru-di-jakarta-resmi-beroperasi,-diversifikasi-bbm-ke-bbg-semakin-cepat"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&amp; spesifikasi historis MRU (20 ft, ~1.800 LSP) sebagai unit isi bergerak"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"https://money.kompas.com/read/2023/03/31/125055526/uji-coba-motor-bahan-bakar-cng-berhasil-cetak-jarak-tempuh-387-km-lsp"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"Hasil uji jalan 38,7 km/LSP pada 3 motor berkonversi CNG (Maret 2023)"</w:t>
      </w:r>
      <w:r>
        <w:br/>
      </w:r>
      <w:r>
        <w:rPr>
          <w:rStyle w:val="FunctionTok"/>
        </w:rPr>
        <w:t xml:space="preserve">brief_id</w:t>
      </w:r>
      <w:r>
        <w:rPr>
          <w:rStyle w:val="KeywordTok"/>
        </w:rPr>
        <w:t xml:space="preserve">:</w:t>
      </w:r>
      <w:r>
        <w:rPr>
          <w:rStyle w:val="AttributeTok"/>
        </w:rPr>
        <w:t xml:space="preserve"> </w:t>
      </w:r>
      <w:r>
        <w:rPr>
          <w:rStyle w:val="StringTok"/>
        </w:rPr>
        <w:t xml:space="preserve">"gasku-02"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date_modified</w:t>
      </w:r>
      <w:r>
        <w:rPr>
          <w:rStyle w:val="KeywordTok"/>
        </w:rPr>
        <w:t xml:space="preserve">:</w:t>
      </w:r>
      <w:r>
        <w:rPr>
          <w:rStyle w:val="AttributeTok"/>
        </w:rPr>
        <w:t xml:space="preserve"> </w:t>
      </w:r>
      <w:r>
        <w:rPr>
          <w:rStyle w:val="StringTok"/>
        </w:rPr>
        <w:t xml:space="preserve">"2026-07-08"</w:t>
      </w:r>
      <w:r>
        <w:br/>
      </w:r>
      <w:r>
        <w:rPr>
          <w:rStyle w:val="FunctionTok"/>
        </w:rPr>
        <w:t xml:space="preserve">word_count</w:t>
      </w:r>
      <w:r>
        <w:rPr>
          <w:rStyle w:val="KeywordTok"/>
        </w:rPr>
        <w:t xml:space="preserve">:</w:t>
      </w:r>
      <w:r>
        <w:rPr>
          <w:rStyle w:val="AttributeTok"/>
        </w:rPr>
        <w:t xml:space="preserve"> </w:t>
      </w:r>
      <w:r>
        <w:rPr>
          <w:rStyle w:val="DecValTok"/>
        </w:rPr>
        <w:t xml:space="preserve">1573</w:t>
      </w:r>
    </w:p>
    <w:p>
      <w:r>
        <w:pict>
          <v:rect style="width:0;height:1.5pt" o:hralign="center" o:hrstd="t" o:hr="t"/>
        </w:pict>
      </w:r>
    </w:p>
    <w:bookmarkEnd w:id="16"/>
    <w:bookmarkStart w:id="34" w:name="X21f731aea0ff1009cfc1402a21390a83ea2e7a7"/>
    <w:p>
      <w:pPr>
        <w:pStyle w:val="Heading1"/>
      </w:pPr>
      <w:r>
        <w:t xml:space="preserve">Peta SPBG Gasku: Di Mana Isi BBG &amp; Cara Rencanakan Rute</w:t>
      </w:r>
    </w:p>
    <w:p>
      <w:pPr>
        <w:pStyle w:val="FirstParagraph"/>
      </w:pPr>
      <w:r>
        <w:t xml:space="preserve">Pertanyaan paling membumi dari calon pengguna kendaraan gas bukan soal hemat atau tidak, melainkan:</w:t>
      </w:r>
      <w:r>
        <w:t xml:space="preserve"> </w:t>
      </w:r>
      <w:r>
        <w:t xml:space="preserve">“kalau saya pakai</w:t>
      </w:r>
      <w:r>
        <w:t xml:space="preserve"> </w:t>
      </w:r>
      <w:hyperlink r:id="rId17">
        <w:r>
          <w:rPr>
            <w:rStyle w:val="Hyperlink"/>
          </w:rPr>
          <w:t xml:space="preserve">Gasku</w:t>
        </w:r>
      </w:hyperlink>
      <w:r>
        <w:t xml:space="preserve">, saya isi gas di mana — dan bagaimana kalau harus keluar kota?”</w:t>
      </w:r>
      <w:r>
        <w:t xml:space="preserve"> </w:t>
      </w:r>
      <w:r>
        <w:t xml:space="preserve">Rasa cemas kehabisan gas jauh dari stasiun pengisian, atau</w:t>
      </w:r>
      <w:r>
        <w:t xml:space="preserve"> </w:t>
      </w:r>
      <w:r>
        <w:rPr>
          <w:i/>
          <w:iCs/>
        </w:rPr>
        <w:t xml:space="preserve">range anxiety</w:t>
      </w:r>
      <w:r>
        <w:t xml:space="preserve">, itu nyata. Kebanyakan artikel hanya menyodorkan daftar lokasi mentah tanpa mengajarkan cara membacanya. Panduan ini menutup celah itu: di mana titik isi Gasku berada, berapa jauh satu kali isi membawa Anda, dan cara merencanakan rute di sekitar keterbatasan jaringan.</w:t>
      </w:r>
    </w:p>
    <w:p>
      <w:pPr>
        <w:pStyle w:val="BlockText"/>
      </w:pPr>
      <w:r>
        <w:rPr>
          <w:b/>
          <w:bCs/>
        </w:rPr>
        <w:t xml:space="preserve">Ringkasnya:</w:t>
      </w:r>
      <w:r>
        <w:t xml:space="preserve"> </w:t>
      </w:r>
      <w:r>
        <w:t xml:space="preserve">Gasku bisa diisi di jaringan SPBG (</w:t>
      </w:r>
      <w:r>
        <w:rPr>
          <w:i/>
          <w:iCs/>
        </w:rPr>
        <w:t xml:space="preserve">Stasiun Pengisian Bahan Bakar Gas</w:t>
      </w:r>
      <w:r>
        <w:t xml:space="preserve">) yang tersebar di beberapa wilayah seperti DKI Jakarta, Jawa Barat, Jawa Timur, Banten, Lampung, dan Batam, serta melalui MRU (</w:t>
      </w:r>
      <w:r>
        <w:rPr>
          <w:i/>
          <w:iCs/>
        </w:rPr>
        <w:t xml:space="preserve">Mobile Refueling Unit</w:t>
      </w:r>
      <w:r>
        <w:t xml:space="preserve">), yaitu unit isi bergerak yang memperluas jangkauan ke lokasi belum terjangkau SPBG tetap. Cek daftar lokasi terkini langsung di gagas.co.id/area-operasi.</w:t>
      </w:r>
    </w:p>
    <w:p>
      <w:pPr>
        <w:pStyle w:val="FirstParagraph"/>
      </w:pPr>
      <w:r>
        <w:rPr>
          <w:i/>
          <w:iCs/>
        </w:rPr>
        <w:t xml:space="preserve">[Image 01: Peta stilasi Indonesia dengan fokus Jawa–Sumatra–Batam, menandai titik SPBG bernama (Jakarta, Bekasi, Bogor, Purwakarta, Serang, Cilegon, Surabaya, Bandar Lampung, Batam, Cirebon) memakai ikon pompa untuk SPBG tetap dan ikon truk-kontainer untuk MRU bergerak. Gaya infografis korporat biru-hijau, garis rute putus-putus antar-titik. Teks Bahasa Indonesia. Caption:</w:t>
      </w:r>
      <w:r>
        <w:rPr>
          <w:i/>
          <w:iCs/>
        </w:rPr>
        <w:t xml:space="preserve"> </w:t>
      </w:r>
      <w:r>
        <w:rPr>
          <w:i/>
          <w:iCs/>
        </w:rPr>
        <w:t xml:space="preserve">“Jaringan titik isi Gasku: SPBG tetap dan MRU bergerak (ilustratif, cek gagas.co.id untuk daftar terkini).”</w:t>
      </w:r>
      <w:r>
        <w:rPr>
          <w:i/>
          <w:iCs/>
        </w:rPr>
        <w:t xml:space="preserve"> </w:t>
      </w:r>
      <w:r>
        <w:rPr>
          <w:i/>
          <w:iCs/>
        </w:rPr>
        <w:t xml:space="preserve">Alt-text:</w:t>
      </w:r>
      <w:r>
        <w:rPr>
          <w:i/>
          <w:iCs/>
        </w:rPr>
        <w:t xml:space="preserve"> </w:t>
      </w:r>
      <w:r>
        <w:rPr>
          <w:i/>
          <w:iCs/>
        </w:rPr>
        <w:t xml:space="preserve">“Peta ilustratif lokasi SPBG dan MRU pengisian BBG Gasku di Indonesia”</w:t>
      </w:r>
      <w:r>
        <w:rPr>
          <w:i/>
          <w:iCs/>
        </w:rPr>
        <w:t xml:space="preserve">]</w:t>
      </w:r>
    </w:p>
    <w:bookmarkStart w:id="18" w:name="Xdc5a21d0a50a1540f4277836e7175ce199bd95c"/>
    <w:p>
      <w:pPr>
        <w:pStyle w:val="Heading2"/>
      </w:pPr>
      <w:r>
        <w:t xml:space="preserve">Di Mana Anda Bisa Mengisi Gasku? Mengenal Jaringan SPBG dan MRU</w:t>
      </w:r>
    </w:p>
    <w:p>
      <w:pPr>
        <w:pStyle w:val="FirstParagraph"/>
      </w:pPr>
      <w:r>
        <w:t xml:space="preserve">Titik isi Gasku terdiri dari dua lapis: SPBG, stasiun pengisian tetap yang jadi tulang punggung harian, dan MRU, unit pengisian bergerak berbentuk kontainer yang memperluas jangkauan ke wilayah belum terjangkau stasiun tetap. Keduanya menyalurkan gas yang sama, hanya berbeda sifat: satu permanen, satu fleksibel.</w:t>
      </w:r>
    </w:p>
    <w:p>
      <w:pPr>
        <w:pStyle w:val="BodyText"/>
      </w:pPr>
      <w:r>
        <w:t xml:space="preserve">SPBG adalah</w:t>
      </w:r>
      <w:r>
        <w:t xml:space="preserve"> </w:t>
      </w:r>
      <w:r>
        <w:rPr>
          <w:i/>
          <w:iCs/>
        </w:rPr>
        <w:t xml:space="preserve">Stasiun Pengisian Bahan Bakar Gas</w:t>
      </w:r>
      <w:r>
        <w:t xml:space="preserve"> </w:t>
      </w:r>
      <w:r>
        <w:t xml:space="preserve">— analog SPBU, tapi untuk BBG (Bahan Bakar Gas) berbasis CNG. Di sinilah kendaraan berkonversi gas mengisi tabungnya, dengan tekanan kompresi tinggi yang membuat transfer gas cepat. Karena butuh infrastruktur kompresi dan pasokan gas, SPBG tumbuh bertahap dan belum semerata SPBU.</w:t>
      </w:r>
    </w:p>
    <w:p>
      <w:pPr>
        <w:pStyle w:val="BodyText"/>
      </w:pPr>
      <w:r>
        <w:t xml:space="preserve">MRU melengkapi kekurangan itu. Menurut Kementerian ESDM, unit MRU generasi awal di Jakarta berukuran 20 kaki dengan kapasitas simpan sekitar 1.800 LSP (Liter Setara Premium) per unit (Ditjen Migas ESDM, 2015). Spesifikasi itu gambaran teknis umum dari unit historis, bukan patokan pasti untuk setiap MRU hari ini. Intinya, MRU bisa dipindahkan mengikuti kebutuhan wilayah atau momen tertentu, sesuatu yang tak bisa dilakukan stasiun tetap.</w:t>
      </w:r>
    </w:p>
    <w:bookmarkEnd w:id="18"/>
    <w:bookmarkStart w:id="20" w:name="Xcc298ad67aa56dc8590f23768cdd4c18475a0a7"/>
    <w:p>
      <w:pPr>
        <w:pStyle w:val="Heading2"/>
      </w:pPr>
      <w:r>
        <w:t xml:space="preserve">Peta Cakupan Gasku Saat Ini: Wilayah dan Titik Isi Utama</w:t>
      </w:r>
    </w:p>
    <w:p>
      <w:pPr>
        <w:pStyle w:val="FirstParagraph"/>
      </w:pPr>
      <w:r>
        <w:t xml:space="preserve">Jaringan Gasku tersebar di beberapa provinsi, bukan hanya Jakarta. Per pemberitaan November 2025, PGN mengoperasikan 14 SPBG di 7 provinsi dengan rata-rata melayani sekitar 2.200 kendaraan per hari (CNBC Indonesia, 6 November 2025). Angka ini bergerak seiring ekspansi, jadi anggap sebagai potret satu waktu.</w:t>
      </w:r>
    </w:p>
    <w:p>
      <w:pPr>
        <w:pStyle w:val="BodyText"/>
      </w:pPr>
      <w:r>
        <w:t xml:space="preserve">Ada tiga snapshot berbeda yang beredar, dan menyatukannya jadi satu angka tunggal justru menyesatkan. Company profile PGN Gagas mencatat 12 SPBG dan 4 MRU per akhir 2021; pemberitaan November 2025 menyebut 14 SPBG di 7 provinsi; sementara halaman gagas.co.id/area-operasi menampilkan sekitar sebelas hingga dua belas titik bernama. Ketiganya benar untuk waktunya masing-masing, jadi cek daftar terbaru di halaman area operasi sebelum berangkat.</w:t>
      </w:r>
    </w:p>
    <w:p>
      <w:pPr>
        <w:pStyle w:val="BodyText"/>
      </w:pPr>
      <w:r>
        <w:t xml:space="preserve">Sebagai gambaran titik yang profilnya terverifikasi: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SPBG</w:t>
            </w:r>
          </w:p>
        </w:tc>
        <w:tc>
          <w:tcPr/>
          <w:p>
            <w:pPr>
              <w:pStyle w:val="Compact"/>
            </w:pPr>
            <w:r>
              <w:t xml:space="preserve">Wilayah</w:t>
            </w:r>
          </w:p>
        </w:tc>
        <w:tc>
          <w:tcPr/>
          <w:p>
            <w:pPr>
              <w:pStyle w:val="Compact"/>
            </w:pPr>
            <w:r>
              <w:t xml:space="preserve">Profil / kapasitas</w:t>
            </w:r>
          </w:p>
        </w:tc>
        <w:tc>
          <w:tcPr/>
          <w:p>
            <w:pPr>
              <w:pStyle w:val="Compact"/>
            </w:pPr>
            <w:r>
              <w:t xml:space="preserve">Sumber &amp; tanggal</w:t>
            </w:r>
          </w:p>
        </w:tc>
      </w:tr>
      <w:tr>
        <w:tc>
          <w:tcPr/>
          <w:p>
            <w:pPr>
              <w:pStyle w:val="Compact"/>
            </w:pPr>
            <w:r>
              <w:t xml:space="preserve">SPBG Ngagel</w:t>
            </w:r>
          </w:p>
        </w:tc>
        <w:tc>
          <w:tcPr/>
          <w:p>
            <w:pPr>
              <w:pStyle w:val="Compact"/>
            </w:pPr>
            <w:r>
              <w:t xml:space="preserve">Surabaya, Jawa Timur</w:t>
            </w:r>
          </w:p>
        </w:tc>
        <w:tc>
          <w:tcPr/>
          <w:p>
            <w:pPr>
              <w:pStyle w:val="Compact"/>
            </w:pPr>
            <w:r>
              <w:t xml:space="preserve">Kapasitas 4.000–4.500 LSP; melayani ~400–450 kendaraan/hari</w:t>
            </w:r>
          </w:p>
        </w:tc>
        <w:tc>
          <w:tcPr/>
          <w:p>
            <w:pPr>
              <w:pStyle w:val="Compact"/>
            </w:pPr>
            <w:r>
              <w:t xml:space="preserve">VOI.id / Kompas, Nov 2025</w:t>
            </w:r>
          </w:p>
        </w:tc>
      </w:tr>
      <w:tr>
        <w:tc>
          <w:tcPr/>
          <w:p>
            <w:pPr>
              <w:pStyle w:val="Compact"/>
            </w:pPr>
            <w:r>
              <w:t xml:space="preserve">SPBG Bogor</w:t>
            </w:r>
          </w:p>
        </w:tc>
        <w:tc>
          <w:tcPr/>
          <w:p>
            <w:pPr>
              <w:pStyle w:val="Compact"/>
            </w:pPr>
            <w:r>
              <w:t xml:space="preserve">Bogor, Jawa Barat</w:t>
            </w:r>
          </w:p>
        </w:tc>
        <w:tc>
          <w:tcPr/>
          <w:p>
            <w:pPr>
              <w:pStyle w:val="Compact"/>
            </w:pPr>
            <w:r>
              <w:t xml:space="preserve">Beroperasi sejak 2014; ~312 angkot/hari; harga Rp4.500/LSP</w:t>
            </w:r>
          </w:p>
        </w:tc>
        <w:tc>
          <w:tcPr/>
          <w:p>
            <w:pPr>
              <w:pStyle w:val="Compact"/>
            </w:pPr>
            <w:r>
              <w:t xml:space="preserve">Bogor Today / Suara.com, Mar 2026</w:t>
            </w:r>
          </w:p>
        </w:tc>
      </w:tr>
      <w:tr>
        <w:tc>
          <w:tcPr/>
          <w:p>
            <w:pPr>
              <w:pStyle w:val="Compact"/>
            </w:pPr>
            <w:r>
              <w:t xml:space="preserve">SPBG Cirebon</w:t>
            </w:r>
          </w:p>
        </w:tc>
        <w:tc>
          <w:tcPr/>
          <w:p>
            <w:pPr>
              <w:pStyle w:val="Compact"/>
            </w:pPr>
            <w:r>
              <w:t xml:space="preserve">Cirebon, Jawa Barat</w:t>
            </w:r>
          </w:p>
        </w:tc>
        <w:tc>
          <w:tcPr/>
          <w:p>
            <w:pPr>
              <w:pStyle w:val="Compact"/>
            </w:pPr>
            <w:r>
              <w:t xml:space="preserve">Lokasi program Bengkel Keliling CNG musiman (bersama Komogas)</w:t>
            </w:r>
          </w:p>
        </w:tc>
        <w:tc>
          <w:tcPr/>
          <w:p>
            <w:pPr>
              <w:pStyle w:val="Compact"/>
            </w:pPr>
            <w:r>
              <w:t xml:space="preserve">Liputan6 / detikFinance, Mar 2026</w:t>
            </w:r>
          </w:p>
        </w:tc>
      </w:tr>
      <w:tr>
        <w:tc>
          <w:tcPr/>
          <w:p>
            <w:pPr>
              <w:pStyle w:val="Compact"/>
            </w:pPr>
            <w:r>
              <w:t xml:space="preserve">Jaringan nasional (agregat)</w:t>
            </w:r>
          </w:p>
        </w:tc>
        <w:tc>
          <w:tcPr/>
          <w:p>
            <w:pPr>
              <w:pStyle w:val="Compact"/>
            </w:pPr>
            <w:r>
              <w:t xml:space="preserve">7 provinsi</w:t>
            </w:r>
          </w:p>
        </w:tc>
        <w:tc>
          <w:tcPr/>
          <w:p>
            <w:pPr>
              <w:pStyle w:val="Compact"/>
            </w:pPr>
            <w:r>
              <w:t xml:space="preserve">14 SPBG; rata-rata ~2.200 kendaraan/hari</w:t>
            </w:r>
          </w:p>
        </w:tc>
        <w:tc>
          <w:tcPr/>
          <w:p>
            <w:pPr>
              <w:pStyle w:val="Compact"/>
            </w:pPr>
            <w:r>
              <w:t xml:space="preserve">CNBC Indonesia, Nov 2025</w:t>
            </w:r>
          </w:p>
        </w:tc>
      </w:tr>
    </w:tbl>
    <w:p>
      <w:pPr>
        <w:pStyle w:val="BodyText"/>
      </w:pPr>
      <w:r>
        <w:t xml:space="preserve">Baris di atas contoh titik, bukan daftar lengkap; jangan dijumlahkan menjadi</w:t>
      </w:r>
      <w:r>
        <w:t xml:space="preserve"> </w:t>
      </w:r>
      <w:r>
        <w:t xml:space="preserve">“total SPBG”</w:t>
      </w:r>
      <w:r>
        <w:t xml:space="preserve">. Titik-titik ini dioperasikan PGN Gagas sebagai bagian dari jaringan distribusi</w:t>
      </w:r>
      <w:r>
        <w:t xml:space="preserve"> </w:t>
      </w:r>
      <w:hyperlink r:id="rId19">
        <w:r>
          <w:rPr>
            <w:rStyle w:val="Hyperlink"/>
          </w:rPr>
          <w:t xml:space="preserve">Compressed Natural Gas (CNG)</w:t>
        </w:r>
      </w:hyperlink>
      <w:r>
        <w:t xml:space="preserve"> </w:t>
      </w:r>
      <w:r>
        <w:rPr>
          <w:i/>
          <w:iCs/>
        </w:rPr>
        <w:t xml:space="preserve">beyond-pipeline</w:t>
      </w:r>
      <w:r>
        <w:t xml:space="preserve">. Harga BBG-nya diatur negara: Rp4.500 per LSP sejak 1 Mei 2022 berdasarkan Keputusan Menteri ESDM No. 82 Tahun 2022. Tarif ini sama di semua SPBG, bukan promosi satu penyedia.</w:t>
      </w:r>
    </w:p>
    <w:bookmarkEnd w:id="20"/>
    <w:bookmarkStart w:id="21" w:name="X4118d4c7adedbb1dc07473a9fb93442f7e5e1c4"/>
    <w:p>
      <w:pPr>
        <w:pStyle w:val="Heading2"/>
      </w:pPr>
      <w:r>
        <w:t xml:space="preserve">Berapa Jauh Kendaraan Bisa Menempuh dengan Satu Kali Isi BBG?</w:t>
      </w:r>
    </w:p>
    <w:p>
      <w:pPr>
        <w:pStyle w:val="FirstParagraph"/>
      </w:pPr>
      <w:r>
        <w:t xml:space="preserve">Tidak ada angka tunggal, karena jarak tempuh bergantung pada jenis kendaraan, kapasitas tabung, bobot muatan, dan gaya berkendara. Sebagai gambaran, uji jalan PGN pada Maret 2023 terhadap tiga sepeda motor berkonversi CNG mencatat rata-rata 38,7 km per LSP. Angka ini spesifik untuk motor uji tersebut, bukan patokan universal untuk mobil atau kendaraan niaga.</w:t>
      </w:r>
    </w:p>
    <w:p>
      <w:pPr>
        <w:pStyle w:val="BodyText"/>
      </w:pPr>
      <w:r>
        <w:t xml:space="preserve">Rincian ujinya menarik. Tiga unit (dua Vespa dan satu motor matic) masing-masing mengisi 2,5 LSP, lalu menghasilkan 41,6 km/LSP, 37,5 km/LSP, dan 37 km/LSP, dirata-ratakan jadi 38,7 km/LSP (Kompas.com, 31 Maret 2023). Rentang antar-unit saja sudah lebar untuk menegaskan: hasil Anda akan berbeda, dan untuk mobil atau kendaraan niaga angka motor ini tak bisa dipakai.</w:t>
      </w:r>
    </w:p>
    <w:p>
      <w:pPr>
        <w:pStyle w:val="BodyText"/>
      </w:pPr>
      <w:r>
        <w:t xml:space="preserve">Yang lebih berguna secara praktis bukan berapa kilometer per LSP, melainkan seberapa sering rute harian Anda melewati SPBG. Di sinilah peta jaringan lebih menentukan ketimbang spesifikasi tabung.</w:t>
      </w:r>
    </w:p>
    <w:p>
      <w:pPr>
        <w:pStyle w:val="BodyText"/>
      </w:pPr>
      <w:r>
        <w:rPr>
          <w:i/>
          <w:iCs/>
        </w:rPr>
        <w:t xml:space="preserve">[Image 02: Infografis alur bernomor 4 langkah berjudul</w:t>
      </w:r>
      <w:r>
        <w:rPr>
          <w:i/>
          <w:iCs/>
        </w:rPr>
        <w:t xml:space="preserve"> </w:t>
      </w:r>
      <w:r>
        <w:rPr>
          <w:i/>
          <w:iCs/>
        </w:rPr>
        <w:t xml:space="preserve">“Cara Merencanakan Rute Kendaraan BBG”</w:t>
      </w:r>
      <w:r>
        <w:rPr>
          <w:i/>
          <w:iCs/>
        </w:rPr>
        <w:t xml:space="preserve">: (1) Petakan rute harian vs lokasi SPBG terdekat, (2) Isi penuh sebelum keluar zona ber-SPBG, (3) Manfaatkan Bi-Fuel sebagai cadangan, (4) Cek jadwal MRU/Bengkel Keliling saat musim mudik. Tiap langkah dengan ikon sederhana, gaya flat korporat biru-hijau, panah progresif. Teks Bahasa Indonesia. Alt-text:</w:t>
      </w:r>
      <w:r>
        <w:rPr>
          <w:i/>
          <w:iCs/>
        </w:rPr>
        <w:t xml:space="preserve"> </w:t>
      </w:r>
      <w:r>
        <w:rPr>
          <w:i/>
          <w:iCs/>
        </w:rPr>
        <w:t xml:space="preserve">“Empat langkah merencanakan rute perjalanan dengan kendaraan bahan bakar gas”</w:t>
      </w:r>
      <w:r>
        <w:rPr>
          <w:i/>
          <w:iCs/>
        </w:rPr>
        <w:t xml:space="preserve">]</w:t>
      </w:r>
    </w:p>
    <w:bookmarkEnd w:id="21"/>
    <w:bookmarkStart w:id="23" w:name="Xcc9435a57a759ff20f9e885bb8d94f7f0646dfb"/>
    <w:p>
      <w:pPr>
        <w:pStyle w:val="Heading2"/>
      </w:pPr>
      <w:r>
        <w:t xml:space="preserve">Cara Merencanakan Rute dan Perjalanan dengan Kendaraan BBG</w:t>
      </w:r>
    </w:p>
    <w:p>
      <w:pPr>
        <w:pStyle w:val="FirstParagraph"/>
      </w:pPr>
      <w:r>
        <w:t xml:space="preserve">Kuncinya bukan menghindari keterbatasan jaringan, melainkan merencanakan pemakaian di sekitarnya. Untuk pemakaian harian di wilayah ber-SPBG, ini nyaris tak jadi soal; untuk keluar zona, sedikit persiapan sebelum berangkat sudah cukup mencegah kepanikan di jalan. Empat langkah praktis berikut memadai untuk sebagian besar keadaan sehari-hari:</w:t>
      </w:r>
    </w:p>
    <w:p>
      <w:pPr>
        <w:pStyle w:val="Compact"/>
        <w:numPr>
          <w:ilvl w:val="0"/>
          <w:numId w:val="1001"/>
        </w:numPr>
      </w:pPr>
      <w:r>
        <w:rPr>
          <w:b/>
          <w:bCs/>
        </w:rPr>
        <w:t xml:space="preserve">Petakan rute harian terhadap SPBG terdekat.</w:t>
      </w:r>
      <w:r>
        <w:t xml:space="preserve"> </w:t>
      </w:r>
      <w:r>
        <w:t xml:space="preserve">Catat SPBG di sepanjang rute rutin Anda dan jam operasionalnya. Untuk komuter tetap, satu atau dua titik biasanya cukup.</w:t>
      </w:r>
    </w:p>
    <w:p>
      <w:pPr>
        <w:pStyle w:val="Compact"/>
        <w:numPr>
          <w:ilvl w:val="0"/>
          <w:numId w:val="1001"/>
        </w:numPr>
      </w:pPr>
      <w:r>
        <w:rPr>
          <w:b/>
          <w:bCs/>
        </w:rPr>
        <w:t xml:space="preserve">Isi penuh sebelum keluar zona ber-SPBG.</w:t>
      </w:r>
      <w:r>
        <w:t xml:space="preserve"> </w:t>
      </w:r>
      <w:r>
        <w:t xml:space="preserve">Sebelum menempuh wilayah yang belum tentu punya stasiun, isi tabung sampai penuh di titik terakhir yang dilewati.</w:t>
      </w:r>
    </w:p>
    <w:p>
      <w:pPr>
        <w:pStyle w:val="Compact"/>
        <w:numPr>
          <w:ilvl w:val="0"/>
          <w:numId w:val="1001"/>
        </w:numPr>
      </w:pPr>
      <w:r>
        <w:rPr>
          <w:b/>
          <w:bCs/>
        </w:rPr>
        <w:t xml:space="preserve">Andalkan sistem Bi-Fuel sebagai cadangan.</w:t>
      </w:r>
      <w:r>
        <w:t xml:space="preserve"> </w:t>
      </w:r>
      <w:r>
        <w:t xml:space="preserve">Kendaraan konversi umumnya tetap menyimpan tangki bensin, jaring pengaman yang membuat kehabisan gas tidak berarti mogok.</w:t>
      </w:r>
    </w:p>
    <w:p>
      <w:pPr>
        <w:pStyle w:val="Compact"/>
        <w:numPr>
          <w:ilvl w:val="0"/>
          <w:numId w:val="1001"/>
        </w:numPr>
      </w:pPr>
      <w:r>
        <w:rPr>
          <w:b/>
          <w:bCs/>
        </w:rPr>
        <w:t xml:space="preserve">Cek dukungan musiman saat momen padat.</w:t>
      </w:r>
      <w:r>
        <w:t xml:space="preserve"> </w:t>
      </w:r>
      <w:r>
        <w:t xml:space="preserve">Menjelang mudik atau libur panjang, pantau informasi MRU atau layanan tambahan di jalur Anda.</w:t>
      </w:r>
    </w:p>
    <w:p>
      <w:pPr>
        <w:pStyle w:val="FirstParagraph"/>
      </w:pPr>
      <w:r>
        <w:t xml:space="preserve">Contoh dukungan musiman itu nyata. Pada 9–16 Maret 2026, PGN Gagas bersama Komogas (Komunitas Mobil Gas) menggelar Bengkel Keliling CNG di SPBG Cirebon menjelang mudik Lebaran, melayani 55 kendaraan (Liputan6, 2026). Perhatikan sifatnya: ini program musiman di satu titik, bukan layanan permanen. Jadikan bonus, bukan tumpuan.</w:t>
      </w:r>
    </w:p>
    <w:p>
      <w:pPr>
        <w:pStyle w:val="BodyText"/>
      </w:pPr>
      <w:r>
        <w:t xml:space="preserve">Logika MRU yang bergerak ke titik pengguna ini kerabat dekat dari cara</w:t>
      </w:r>
      <w:r>
        <w:t xml:space="preserve"> </w:t>
      </w:r>
      <w:hyperlink r:id="rId22">
        <w:r>
          <w:rPr>
            <w:rStyle w:val="Hyperlink"/>
          </w:rPr>
          <w:t xml:space="preserve">Gaslink untuk industri dan komersial</w:t>
        </w:r>
      </w:hyperlink>
      <w:r>
        <w:t xml:space="preserve"> </w:t>
      </w:r>
      <w:r>
        <w:t xml:space="preserve">mengirim gas via modul angkut ke pabrik tanpa pipa: prinsip</w:t>
      </w:r>
      <w:r>
        <w:t xml:space="preserve"> </w:t>
      </w:r>
      <w:r>
        <w:rPr>
          <w:i/>
          <w:iCs/>
        </w:rPr>
        <w:t xml:space="preserve">virtual pipeline</w:t>
      </w:r>
      <w:r>
        <w:t xml:space="preserve"> </w:t>
      </w:r>
      <w:r>
        <w:t xml:space="preserve">yang sama, hanya sisi penggunanya berbeda.</w:t>
      </w:r>
    </w:p>
    <w:bookmarkEnd w:id="23"/>
    <w:bookmarkStart w:id="24" w:name="X5cb312e892d654d1d057189954650cafd32f9f4"/>
    <w:p>
      <w:pPr>
        <w:pStyle w:val="Heading2"/>
      </w:pPr>
      <w:r>
        <w:t xml:space="preserve">Jujur soal Keterbatasan Jaringan: Kenapa Itu Belum Tentu Masalah</w:t>
      </w:r>
    </w:p>
    <w:p>
      <w:pPr>
        <w:pStyle w:val="FirstParagraph"/>
      </w:pPr>
      <w:r>
        <w:t xml:space="preserve">Mari jujur: SPBG belum tersebar seluas SPBU, dan itu memang membatasi. BBG paling masuk akal untuk pemakaian berbasis rute atau wilayah tetap (angkot, taksi, armada kota, komuter harian) ketimbang perjalanan lintas provinsi yang acak. Namun berkat sistem Bi-Fuel, kehabisan gas tidak sama dengan mogok: kendaraan otomatis lanjut dengan bensin.</w:t>
      </w:r>
    </w:p>
    <w:p>
      <w:pPr>
        <w:pStyle w:val="BodyText"/>
      </w:pPr>
      <w:r>
        <w:t xml:space="preserve">Ini yang jarang ditulis, padahal krusial. Kendaraan BBG konversi umumnya bukan</w:t>
      </w:r>
      <w:r>
        <w:t xml:space="preserve"> </w:t>
      </w:r>
      <w:r>
        <w:t xml:space="preserve">“kendaraan gas murni”</w:t>
      </w:r>
      <w:r>
        <w:t xml:space="preserve"> </w:t>
      </w:r>
      <w:r>
        <w:t xml:space="preserve">seperti mobil listrik yang berhenti total saat baterai habis. Sistem Bi-Fuel (dua bahan bakar) membuat mesin beralih otomatis ke bensin saat tabung gas kosong. Artinya,</w:t>
      </w:r>
      <w:r>
        <w:t xml:space="preserve"> </w:t>
      </w:r>
      <w:r>
        <w:rPr>
          <w:i/>
          <w:iCs/>
        </w:rPr>
        <w:t xml:space="preserve">range anxiety</w:t>
      </w:r>
      <w:r>
        <w:t xml:space="preserve"> </w:t>
      </w:r>
      <w:r>
        <w:t xml:space="preserve">pada kendaraan BBG secara mekanis lebih ringan dibanding kendaraan listrik, karena selalu ada bahan bakar cadangan bawaan.</w:t>
      </w:r>
    </w:p>
    <w:p>
      <w:pPr>
        <w:pStyle w:val="BodyText"/>
      </w:pPr>
      <w:r>
        <w:t xml:space="preserve">Maka pertanyaan yang tepat bukan</w:t>
      </w:r>
      <w:r>
        <w:t xml:space="preserve"> </w:t>
      </w:r>
      <w:r>
        <w:t xml:space="preserve">“apakah SPBG ada di mana-mana”</w:t>
      </w:r>
      <w:r>
        <w:t xml:space="preserve">, melainkan</w:t>
      </w:r>
      <w:r>
        <w:t xml:space="preserve"> </w:t>
      </w:r>
      <w:r>
        <w:t xml:space="preserve">“apakah rute rutin saya melewati minimal satu SPBG yang andal”</w:t>
      </w:r>
      <w:r>
        <w:t xml:space="preserve">. Jika ya, penghematan bisa Anda nikmati harian, dengan bensin sebagai jaring pengaman saat keluar jalur. Jika perjalanan Anda lintas kota jauh dan tak terprediksi, BBG mungkin belum praktis. Ini penilaian jujur, bukan kelemahan yang perlu ditutupi.</w:t>
      </w:r>
    </w:p>
    <w:p>
      <w:pPr>
        <w:pStyle w:val="BodyText"/>
      </w:pPr>
      <w:r>
        <w:rPr>
          <w:i/>
          <w:iCs/>
        </w:rPr>
        <w:t xml:space="preserve">[Image 03: Infografis tiga kolom berjudul</w:t>
      </w:r>
      <w:r>
        <w:rPr>
          <w:i/>
          <w:iCs/>
        </w:rPr>
        <w:t xml:space="preserve"> </w:t>
      </w:r>
      <w:r>
        <w:rPr>
          <w:i/>
          <w:iCs/>
        </w:rPr>
        <w:t xml:space="preserve">“Tiga Lapis Peredam Range Anxiety pada Kendaraan BBG”</w:t>
      </w:r>
      <w:r>
        <w:rPr>
          <w:i/>
          <w:iCs/>
        </w:rPr>
        <w:t xml:space="preserve">: kolom 1</w:t>
      </w:r>
      <w:r>
        <w:rPr>
          <w:i/>
          <w:iCs/>
        </w:rPr>
        <w:t xml:space="preserve"> </w:t>
      </w:r>
      <w:r>
        <w:rPr>
          <w:i/>
          <w:iCs/>
        </w:rPr>
        <w:t xml:space="preserve">“SPBG: titik isi utama harian”</w:t>
      </w:r>
      <w:r>
        <w:rPr>
          <w:i/>
          <w:iCs/>
        </w:rPr>
        <w:t xml:space="preserve"> </w:t>
      </w:r>
      <w:r>
        <w:rPr>
          <w:i/>
          <w:iCs/>
        </w:rPr>
        <w:t xml:space="preserve">(ikon pompa), kolom 2</w:t>
      </w:r>
      <w:r>
        <w:rPr>
          <w:i/>
          <w:iCs/>
        </w:rPr>
        <w:t xml:space="preserve"> </w:t>
      </w:r>
      <w:r>
        <w:rPr>
          <w:i/>
          <w:iCs/>
        </w:rPr>
        <w:t xml:space="preserve">“MRU: perluasan jangkauan sementara”</w:t>
      </w:r>
      <w:r>
        <w:rPr>
          <w:i/>
          <w:iCs/>
        </w:rPr>
        <w:t xml:space="preserve"> </w:t>
      </w:r>
      <w:r>
        <w:rPr>
          <w:i/>
          <w:iCs/>
        </w:rPr>
        <w:t xml:space="preserve">(ikon kontainer), kolom 3</w:t>
      </w:r>
      <w:r>
        <w:rPr>
          <w:i/>
          <w:iCs/>
        </w:rPr>
        <w:t xml:space="preserve"> </w:t>
      </w:r>
      <w:r>
        <w:rPr>
          <w:i/>
          <w:iCs/>
        </w:rPr>
        <w:t xml:space="preserve">“Bi-Fuel: jaring pengaman otomatis ke bensin”</w:t>
      </w:r>
      <w:r>
        <w:rPr>
          <w:i/>
          <w:iCs/>
        </w:rPr>
        <w:t xml:space="preserve"> </w:t>
      </w:r>
      <w:r>
        <w:rPr>
          <w:i/>
          <w:iCs/>
        </w:rPr>
        <w:t xml:space="preserve">(ikon peralihan panah). Gaya flat korporat biru-hijau, tiap kolom satu kalimat penjelas. Teks Bahasa Indonesia. Alt-text:</w:t>
      </w:r>
      <w:r>
        <w:rPr>
          <w:i/>
          <w:iCs/>
        </w:rPr>
        <w:t xml:space="preserve"> </w:t>
      </w:r>
      <w:r>
        <w:rPr>
          <w:i/>
          <w:iCs/>
        </w:rPr>
        <w:t xml:space="preserve">“Peran SPBG, MRU, dan sistem Bi-Fuel dalam mengurangi kekhawatiran kehabisan bahan bakar gas”</w:t>
      </w:r>
      <w:r>
        <w:rPr>
          <w:i/>
          <w:iCs/>
        </w:rPr>
        <w:t xml:space="preserve">]</w:t>
      </w:r>
    </w:p>
    <w:bookmarkEnd w:id="24"/>
    <w:bookmarkStart w:id="32" w:name="faq-pertanyaan-yang-sering-diajukan"/>
    <w:p>
      <w:pPr>
        <w:pStyle w:val="Heading2"/>
      </w:pPr>
      <w:r>
        <w:t xml:space="preserve">FAQ (Pertanyaan yang Sering Diajukan)</w:t>
      </w:r>
    </w:p>
    <w:bookmarkStart w:id="25" w:name="X1d5cc9653d289da7fe1b93e4e307959d3e543e6"/>
    <w:p>
      <w:pPr>
        <w:pStyle w:val="Heading3"/>
      </w:pPr>
      <w:r>
        <w:t xml:space="preserve">Di mana saja saya bisa mengisi BBG Gasku saat ini?</w:t>
      </w:r>
    </w:p>
    <w:p>
      <w:pPr>
        <w:pStyle w:val="FirstParagraph"/>
      </w:pPr>
      <w:r>
        <w:t xml:space="preserve">Titik isi Gasku terdiri dari SPBG tetap dan MRU bergerak. Per data yang beredar, jaringannya mencakup DKI Jakarta, Jawa Barat (Bogor, Bekasi, Purwakarta), Banten (Serang, Cilegon), Jawa Timur (Surabaya), Lampung, dan Batam. Jumlahnya berubah seiring ekspansi, jadi cek daftar terkini di gagas.co.id/area-operasi sebelum bepergian.</w:t>
      </w:r>
    </w:p>
    <w:bookmarkEnd w:id="25"/>
    <w:bookmarkStart w:id="26" w:name="Xd098e976fb32d9e770f1e1acd1888acbbf17dc0"/>
    <w:p>
      <w:pPr>
        <w:pStyle w:val="Heading3"/>
      </w:pPr>
      <w:r>
        <w:t xml:space="preserve">Apakah SPBG Gasku tersedia di luar Jakarta?</w:t>
      </w:r>
    </w:p>
    <w:p>
      <w:pPr>
        <w:pStyle w:val="FirstParagraph"/>
      </w:pPr>
      <w:r>
        <w:t xml:space="preserve">Ya. SPBG Gasku sudah beroperasi di luar Jabodetabek, misalnya SPBG Ngagel di Surabaya (kapasitas 4.000–4.500 LSP, ~400–450 kendaraan/hari) dan SPBG Bogor yang beroperasi sejak 2014 dengan sekitar 312 angkot per hari. Per pemberitaan November 2025, jaringan SPBG PGN ada di 7 provinsi.</w:t>
      </w:r>
    </w:p>
    <w:bookmarkEnd w:id="26"/>
    <w:bookmarkStart w:id="27" w:name="Xd25b539d03cabbd90537a9becaace3700ace19a"/>
    <w:p>
      <w:pPr>
        <w:pStyle w:val="Heading3"/>
      </w:pPr>
      <w:r>
        <w:t xml:space="preserve">Berapa jarak tempuh kendaraan dengan satu kali isi CNG?</w:t>
      </w:r>
    </w:p>
    <w:p>
      <w:pPr>
        <w:pStyle w:val="FirstParagraph"/>
      </w:pPr>
      <w:r>
        <w:t xml:space="preserve">Tidak ada angka tunggal, karena bergantung pada jenis kendaraan, kapasitas tabung, bobot, dan gaya berkendara. Uji jalan PGN pada Maret 2023 terhadap tiga sepeda motor mencatat rata-rata 38,7 km per LSP (individual 37–41,6 km/LSP). Angka ini hasil uji motor spesifik, bukan estimasi untuk mobil atau kendaraan niaga.</w:t>
      </w:r>
    </w:p>
    <w:bookmarkEnd w:id="27"/>
    <w:bookmarkStart w:id="28" w:name="X75f6ec2bc1bb8ee9f1ac9f764186c2582003b60"/>
    <w:p>
      <w:pPr>
        <w:pStyle w:val="Heading3"/>
      </w:pPr>
      <w:r>
        <w:t xml:space="preserve">Bagaimana jika gas habis di tengah jalan dan SPBG jauh?</w:t>
      </w:r>
    </w:p>
    <w:p>
      <w:pPr>
        <w:pStyle w:val="FirstParagraph"/>
      </w:pPr>
      <w:r>
        <w:t xml:space="preserve">Sebagian besar kendaraan konversi BBG memakai sistem Bi-Fuel, yang otomatis beralih ke bensin ketika pasokan gas di tabung habis, tanpa berhenti atau mogok. Inilah jaring pengaman yang meredam kekhawatiran kehabisan gas: kendaraan tetap melanjutkan perjalanan dengan bensin sampai menemukan SPBG berikutnya.</w:t>
      </w:r>
    </w:p>
    <w:bookmarkEnd w:id="28"/>
    <w:bookmarkStart w:id="29" w:name="apa-itu-mru-dan-apa-bedanya-dengan-spbg"/>
    <w:p>
      <w:pPr>
        <w:pStyle w:val="Heading3"/>
      </w:pPr>
      <w:r>
        <w:t xml:space="preserve">Apa itu MRU dan apa bedanya dengan SPBG?</w:t>
      </w:r>
    </w:p>
    <w:p>
      <w:pPr>
        <w:pStyle w:val="FirstParagraph"/>
      </w:pPr>
      <w:r>
        <w:t xml:space="preserve">MRU (</w:t>
      </w:r>
      <w:r>
        <w:rPr>
          <w:i/>
          <w:iCs/>
        </w:rPr>
        <w:t xml:space="preserve">Mobile Refueling Unit</w:t>
      </w:r>
      <w:r>
        <w:t xml:space="preserve">) adalah unit pengisian BBG yang dapat dipindahkan, biasanya berbentuk kontainer, untuk memperluas jangkauan ke lokasi yang belum terjangkau SPBG tetap. Menurut Kementerian ESDM, MRU generasi awal berukuran 20 kaki dengan kapasitas simpan sekitar 1.800 LSP. SPBG bersifat permanen; MRU sementara dan fleksibel.</w:t>
      </w:r>
    </w:p>
    <w:bookmarkEnd w:id="29"/>
    <w:bookmarkStart w:id="30" w:name="X4582cfe803c94ba6749d047172cd98d2e2ac838"/>
    <w:p>
      <w:pPr>
        <w:pStyle w:val="Heading3"/>
      </w:pPr>
      <w:r>
        <w:t xml:space="preserve">Berapa lama waktu yang dibutuhkan untuk mengisi BBG?</w:t>
      </w:r>
    </w:p>
    <w:p>
      <w:pPr>
        <w:pStyle w:val="FirstParagraph"/>
      </w:pPr>
      <w:r>
        <w:t xml:space="preserve">Pengisian BBG di SPBG umumnya singkat, mirip mengisi BBM konvensional, karena tekanan kompresi tinggi memungkinkan transfer gas cepat ke tabung kendaraan. Durasi pastinya bervariasi tergantung kapasitas tabung, tekanan dispenser, dan antrean di tiap SPBG, jadi angka waktu spesifik sebaiknya ditanyakan langsung ke petugas stasiun setempat.</w:t>
      </w:r>
    </w:p>
    <w:bookmarkEnd w:id="30"/>
    <w:bookmarkStart w:id="31" w:name="Xdcb5e38826557e33880fcd74b06bee05fecfc86"/>
    <w:p>
      <w:pPr>
        <w:pStyle w:val="Heading3"/>
      </w:pPr>
      <w:r>
        <w:t xml:space="preserve">Apakah kendaraan BBG cocok untuk perjalanan jauh atau mudik?</w:t>
      </w:r>
    </w:p>
    <w:p>
      <w:pPr>
        <w:pStyle w:val="FirstParagraph"/>
      </w:pPr>
      <w:r>
        <w:t xml:space="preserve">BBG paling ideal untuk pemakaian berbasis rute tetap seperti angkot, taksi, atau komuter harian di wilayah yang sudah terjangkau SPBG. Untuk mudik, sempat ada dukungan musiman seperti Bengkel Keliling CNG bersama Komogas di Cirebon (9–16 Maret 2026), namun ini musiman, bukan jaringan tetap, jadi rencanakan rute sesuai cakupan SPBG.</w:t>
      </w:r>
    </w:p>
    <w:bookmarkEnd w:id="31"/>
    <w:bookmarkEnd w:id="32"/>
    <w:bookmarkStart w:id="33" w:name="kesimpulan"/>
    <w:p>
      <w:pPr>
        <w:pStyle w:val="Heading2"/>
      </w:pPr>
      <w:r>
        <w:t xml:space="preserve">Kesimpulan</w:t>
      </w:r>
    </w:p>
    <w:p>
      <w:pPr>
        <w:pStyle w:val="FirstParagraph"/>
      </w:pPr>
      <w:r>
        <w:t xml:space="preserve">Kepraktisan kendaraan BBG tidak ditentukan oleh spesifikasi tabung, melainkan oleh seberapa baik rute Anda cocok dengan peta jaringan pengisiannya. Untuk pemakaian berbasis wilayah tetap, jaringan SPBG dan MRU sudah memadai, dan sistem Bi-Fuel meredam</w:t>
      </w:r>
      <w:r>
        <w:t xml:space="preserve"> </w:t>
      </w:r>
      <w:r>
        <w:rPr>
          <w:i/>
          <w:iCs/>
        </w:rPr>
        <w:t xml:space="preserve">range anxiety</w:t>
      </w:r>
      <w:r>
        <w:t xml:space="preserve">. Sebagai anak usaha PGN yang merupakan bagian dari Subholding Gas Pertamina, PGN Gagas menghadirkan gas bumi ke segmen transportasi lewat Gasku, didukung jaringan SPBG dan MRU yang terus dikembangkan mengikuti rute penggunanya.</w:t>
      </w:r>
    </w:p>
    <w:p>
      <w:pPr>
        <w:pStyle w:val="BodyText"/>
      </w:pPr>
      <w:r>
        <w:t xml:space="preserve">Untuk melihat daftar lokasi SPBG terkini dan mendiskusikan kesesuaian Gasku dengan rute Anda, kunjungi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22" Target="https://gagas.co.id/gaslink/" TargetMode="External" /><Relationship Type="http://schemas.openxmlformats.org/officeDocument/2006/relationships/hyperlink" Id="rId19"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22" Target="https://gagas.co.id/gaslink/" TargetMode="External" /><Relationship Type="http://schemas.openxmlformats.org/officeDocument/2006/relationships/hyperlink" Id="rId19"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2026-07-08T03:07:32Z</dcterms:created>
  <dcterms:modified xsi:type="dcterms:W3CDTF">2026-07-08T03:07:32Z</dcterms:modified>
</cp:coreProperties>
</file>

<file path=docProps/custom.xml><?xml version="1.0" encoding="utf-8"?>
<Properties xmlns="http://schemas.openxmlformats.org/officeDocument/2006/custom-properties" xmlns:vt="http://schemas.openxmlformats.org/officeDocument/2006/docPropsVTypes"/>
</file>