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"Keselamatan CNG (Gaslink) di Lokasi: Standar &amp; Ceklis Wajib"</w:t>
      </w:r>
      <w:r>
        <w:br/>
      </w:r>
      <w:r>
        <w:rPr>
          <w:rStyle w:val="FunctionTok"/>
        </w:rPr>
        <w:t xml:space="preserve">meta_title</w:t>
      </w:r>
      <w:r>
        <w:rPr>
          <w:rStyle w:val="KeywordTok"/>
        </w:rPr>
        <w:t xml:space="preserve">:</w:t>
      </w:r>
      <w:r>
        <w:rPr>
          <w:rStyle w:val="AttributeTok"/>
        </w:rPr>
        <w:t xml:space="preserve"> </w:t>
      </w:r>
      <w:r>
        <w:rPr>
          <w:rStyle w:val="StringTok"/>
        </w:rPr>
        <w:t xml:space="preserve">"Keselamatan CNG (Gaslink) di Lokasi: Standar &amp; Ceklis"</w:t>
      </w:r>
      <w:r>
        <w:br/>
      </w:r>
      <w:r>
        <w:rPr>
          <w:rStyle w:val="FunctionTok"/>
        </w:rPr>
        <w:t xml:space="preserve">meta_description</w:t>
      </w:r>
      <w:r>
        <w:rPr>
          <w:rStyle w:val="KeywordTok"/>
        </w:rPr>
        <w:t xml:space="preserve">:</w:t>
      </w:r>
      <w:r>
        <w:rPr>
          <w:rStyle w:val="AttributeTok"/>
        </w:rPr>
        <w:t xml:space="preserve"> </w:t>
      </w:r>
      <w:r>
        <w:rPr>
          <w:rStyle w:val="StringTok"/>
        </w:rPr>
        <w:t xml:space="preserve">"Panduan keselamatan CNG Gaslink di lokasi pelanggan: perangkat pengaman, ceklis kesiapan lokasi, dasar Permen ESDM 32/2021, dan pembagian tanggung jawab."</w:t>
      </w:r>
      <w:r>
        <w:br/>
      </w:r>
      <w:r>
        <w:rPr>
          <w:rStyle w:val="FunctionTok"/>
        </w:rPr>
        <w:t xml:space="preserve">slug</w:t>
      </w:r>
      <w:r>
        <w:rPr>
          <w:rStyle w:val="KeywordTok"/>
        </w:rPr>
        <w:t xml:space="preserve">:</w:t>
      </w:r>
      <w:r>
        <w:rPr>
          <w:rStyle w:val="AttributeTok"/>
        </w:rPr>
        <w:t xml:space="preserve"> </w:t>
      </w:r>
      <w:r>
        <w:rPr>
          <w:rStyle w:val="StringTok"/>
        </w:rPr>
        <w:t xml:space="preserve">"keselamatan-cng-gaslink-lokasi-standar-ceklis"</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"Gaslink"</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"keselamatan CNG industri"</w:t>
      </w:r>
      <w:r>
        <w:br/>
      </w:r>
      <w:r>
        <w:rPr>
          <w:rStyle w:val="AttributeTok"/>
        </w:rPr>
        <w:t xml:space="preserve">  </w:t>
      </w:r>
      <w:r>
        <w:rPr>
          <w:rStyle w:val="KeywordTok"/>
        </w:rPr>
        <w:t xml:space="preserve">-</w:t>
      </w:r>
      <w:r>
        <w:rPr>
          <w:rStyle w:val="AttributeTok"/>
        </w:rPr>
        <w:t xml:space="preserve"> </w:t>
      </w:r>
      <w:r>
        <w:rPr>
          <w:rStyle w:val="StringTok"/>
        </w:rPr>
        <w:t xml:space="preserve">"Pressure Reduction Station (PRS)"</w:t>
      </w:r>
      <w:r>
        <w:br/>
      </w:r>
      <w:r>
        <w:rPr>
          <w:rStyle w:val="AttributeTok"/>
        </w:rPr>
        <w:t xml:space="preserve">  </w:t>
      </w:r>
      <w:r>
        <w:rPr>
          <w:rStyle w:val="KeywordTok"/>
        </w:rPr>
        <w:t xml:space="preserve">-</w:t>
      </w:r>
      <w:r>
        <w:rPr>
          <w:rStyle w:val="AttributeTok"/>
        </w:rPr>
        <w:t xml:space="preserve"> </w:t>
      </w:r>
      <w:r>
        <w:rPr>
          <w:rStyle w:val="StringTok"/>
        </w:rPr>
        <w:t xml:space="preserve">"gas detector kebocoran gas"</w:t>
      </w:r>
      <w:r>
        <w:br/>
      </w:r>
      <w:r>
        <w:rPr>
          <w:rStyle w:val="AttributeTok"/>
        </w:rPr>
        <w:t xml:space="preserve">  </w:t>
      </w:r>
      <w:r>
        <w:rPr>
          <w:rStyle w:val="KeywordTok"/>
        </w:rPr>
        <w:t xml:space="preserve">-</w:t>
      </w:r>
      <w:r>
        <w:rPr>
          <w:rStyle w:val="AttributeTok"/>
        </w:rPr>
        <w:t xml:space="preserve"> </w:t>
      </w:r>
      <w:r>
        <w:rPr>
          <w:rStyle w:val="StringTok"/>
        </w:rPr>
        <w:t xml:space="preserve">"emergency shutdown"</w:t>
      </w:r>
      <w:r>
        <w:br/>
      </w:r>
      <w:r>
        <w:rPr>
          <w:rStyle w:val="AttributeTok"/>
        </w:rPr>
        <w:t xml:space="preserve">  </w:t>
      </w:r>
      <w:r>
        <w:rPr>
          <w:rStyle w:val="KeywordTok"/>
        </w:rPr>
        <w:t xml:space="preserve">-</w:t>
      </w:r>
      <w:r>
        <w:rPr>
          <w:rStyle w:val="AttributeTok"/>
        </w:rPr>
        <w:t xml:space="preserve"> </w:t>
      </w:r>
      <w:r>
        <w:rPr>
          <w:rStyle w:val="StringTok"/>
        </w:rPr>
        <w:t xml:space="preserve">"Permen ESDM No. 32 Tahun 2021"</w:t>
      </w:r>
      <w:r>
        <w:br/>
      </w:r>
      <w:r>
        <w:rPr>
          <w:rStyle w:val="AttributeTok"/>
        </w:rPr>
        <w:t xml:space="preserve">  </w:t>
      </w:r>
      <w:r>
        <w:rPr>
          <w:rStyle w:val="KeywordTok"/>
        </w:rPr>
        <w:t xml:space="preserve">-</w:t>
      </w:r>
      <w:r>
        <w:rPr>
          <w:rStyle w:val="AttributeTok"/>
        </w:rPr>
        <w:t xml:space="preserve"> </w:t>
      </w:r>
      <w:r>
        <w:rPr>
          <w:rStyle w:val="StringTok"/>
        </w:rPr>
        <w:t xml:space="preserve">"ISO 45001:2018"</w:t>
      </w:r>
      <w:r>
        <w:br/>
      </w:r>
      <w:r>
        <w:rPr>
          <w:rStyle w:val="AttributeTok"/>
        </w:rPr>
        <w:t xml:space="preserve">  </w:t>
      </w:r>
      <w:r>
        <w:rPr>
          <w:rStyle w:val="KeywordTok"/>
        </w:rPr>
        <w:t xml:space="preserve">-</w:t>
      </w:r>
      <w:r>
        <w:rPr>
          <w:rStyle w:val="AttributeTok"/>
        </w:rPr>
        <w:t xml:space="preserve"> </w:t>
      </w:r>
      <w:r>
        <w:rPr>
          <w:rStyle w:val="StringTok"/>
        </w:rPr>
        <w:t xml:space="preserve">"kompetensi operator distribusi gas non-pipa"</w:t>
      </w:r>
      <w:r>
        <w:br/>
      </w:r>
      <w:r>
        <w:rPr>
          <w:rStyle w:val="AttributeTok"/>
        </w:rPr>
        <w:t xml:space="preserve">  </w:t>
      </w:r>
      <w:r>
        <w:rPr>
          <w:rStyle w:val="KeywordTok"/>
        </w:rPr>
        <w:t xml:space="preserve">-</w:t>
      </w:r>
      <w:r>
        <w:rPr>
          <w:rStyle w:val="AttributeTok"/>
        </w:rPr>
        <w:t xml:space="preserve"> </w:t>
      </w:r>
      <w:r>
        <w:rPr>
          <w:rStyle w:val="StringTok"/>
        </w:rPr>
        <w:t xml:space="preserve">"audit K3 gas"</w:t>
      </w:r>
      <w:r>
        <w:br/>
      </w:r>
      <w:r>
        <w:rPr>
          <w:rStyle w:val="AttributeTok"/>
        </w:rPr>
        <w:t xml:space="preserve">  </w:t>
      </w:r>
      <w:r>
        <w:rPr>
          <w:rStyle w:val="KeywordTok"/>
        </w:rPr>
        <w:t xml:space="preserve">-</w:t>
      </w:r>
      <w:r>
        <w:rPr>
          <w:rStyle w:val="AttributeTok"/>
        </w:rPr>
        <w:t xml:space="preserve"> </w:t>
      </w:r>
      <w:r>
        <w:rPr>
          <w:rStyle w:val="StringTok"/>
        </w:rPr>
        <w:t xml:space="preserve">"risk assessment instalasi gas"</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"https://gagas.co.id/gaslink/"</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"Gaslink"</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"https://gagas.co.id/perusahaan-cng-indonesia/"</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"penyedia CNG di Indonesia"</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"https://gagas.co.id/gasku/"</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"Gasku untuk kendaraan berbahan bakar gas"</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"https://migas.esdm.go.id/post/sosialisasi-permen-esdm-32-tahun-2021-simplifikasi-regulasi-inspeksi-teknis-dan-pemeriksaan-keselamatan-instalasi-migas"</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"Dasar hukum inspeksi teknis &amp; pemeriksaan keselamatan instalasi migas hilir, termasuk kerangka Analisis Risiko"</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"https://bpsdm.esdm.go.id/posts/2022/11/24/ppsdm-migas-dan-pjb-gresik-optimalkan-kompetensi-operator-distribusi-gas-alam-dan-buatan-non-pipa/2175"</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"Kewajiban kompetensi &amp; sertifikasi operator distribusi gas alam non-pipa (mother/daughter station)"</w:t>
      </w:r>
      <w:r>
        <w:br/>
      </w:r>
      <w:r>
        <w:rPr>
          <w:rStyle w:val="FunctionTok"/>
        </w:rPr>
        <w:t xml:space="preserve">brief_id</w:t>
      </w:r>
      <w:r>
        <w:rPr>
          <w:rStyle w:val="KeywordTok"/>
        </w:rPr>
        <w:t xml:space="preserve">:</w:t>
      </w:r>
      <w:r>
        <w:rPr>
          <w:rStyle w:val="AttributeTok"/>
        </w:rPr>
        <w:t xml:space="preserve"> </w:t>
      </w:r>
      <w:r>
        <w:rPr>
          <w:rStyle w:val="StringTok"/>
        </w:rPr>
        <w:t xml:space="preserve">"gaslink-02"</w:t>
      </w:r>
      <w:r>
        <w:br/>
      </w:r>
      <w:r>
        <w:rPr>
          <w:rStyle w:val="FunctionTok"/>
        </w:rPr>
        <w:t xml:space="preserve">target_word_count</w:t>
      </w:r>
      <w:r>
        <w:rPr>
          <w:rStyle w:val="KeywordTok"/>
        </w:rPr>
        <w:t xml:space="preserve">:</w:t>
      </w:r>
      <w:r>
        <w:rPr>
          <w:rStyle w:val="AttributeTok"/>
        </w:rPr>
        <w:t xml:space="preserve"> </w:t>
      </w:r>
      <w:r>
        <w:rPr>
          <w:rStyle w:val="DecValTok"/>
        </w:rPr>
        <w:t xml:space="preserve">1400</w:t>
      </w:r>
      <w:r>
        <w:br/>
      </w:r>
      <w:r>
        <w:rPr>
          <w:rStyle w:val="FunctionTok"/>
        </w:rPr>
        <w:t xml:space="preserve">publish_month</w:t>
      </w:r>
      <w:r>
        <w:rPr>
          <w:rStyle w:val="KeywordTok"/>
        </w:rPr>
        <w:t xml:space="preserve">:</w:t>
      </w:r>
      <w:r>
        <w:rPr>
          <w:rStyle w:val="AttributeTok"/>
        </w:rPr>
        <w:t xml:space="preserve"> </w:t>
      </w:r>
      <w:r>
        <w:rPr>
          <w:rStyle w:val="StringTok"/>
        </w:rPr>
        <w:t xml:space="preserve">"2026-07-2"</w:t>
      </w:r>
      <w:r>
        <w:br/>
      </w:r>
      <w:r>
        <w:rPr>
          <w:rStyle w:val="FunctionTok"/>
        </w:rPr>
        <w:t xml:space="preserve">word_count</w:t>
      </w:r>
      <w:r>
        <w:rPr>
          <w:rStyle w:val="KeywordTok"/>
        </w:rPr>
        <w:t xml:space="preserve">:</w:t>
      </w:r>
      <w:r>
        <w:rPr>
          <w:rStyle w:val="AttributeTok"/>
        </w:rPr>
        <w:t xml:space="preserve"> </w:t>
      </w:r>
      <w:r>
        <w:rPr>
          <w:rStyle w:val="DecValTok"/>
        </w:rPr>
        <w:t xml:space="preserve">1592</w:t>
      </w:r>
      <w:r>
        <w:br/>
      </w:r>
      <w:r>
        <w:rPr>
          <w:rStyle w:val="FunctionTok"/>
        </w:rPr>
        <w:t xml:space="preserve">dateModified</w:t>
      </w:r>
      <w:r>
        <w:rPr>
          <w:rStyle w:val="KeywordTok"/>
        </w:rPr>
        <w:t xml:space="preserve">:</w:t>
      </w:r>
      <w:r>
        <w:rPr>
          <w:rStyle w:val="AttributeTok"/>
        </w:rPr>
        <w:t xml:space="preserve"> </w:t>
      </w:r>
      <w:r>
        <w:rPr>
          <w:rStyle w:val="StringTok"/>
        </w:rPr>
        <w:t xml:space="preserve">"2026-07-08"</w:t>
      </w:r>
    </w:p>
    <w:p>
      <w:r>
        <w:pict>
          <v:rect style="width:0;height:1.5pt" o:hralign="center" o:hrstd="t" o:hr="t"/>
        </w:pict>
      </w:r>
    </w:p>
    <w:bookmarkEnd w:id="16"/>
    <w:bookmarkStart w:id="34" w:name="X6b65fd768e8789ac3af40f3bd5c5d7744f2d0cb"/>
    <w:p>
      <w:pPr>
        <w:pStyle w:val="Heading1"/>
      </w:pPr>
      <w:r>
        <w:t xml:space="preserve">Keselamatan CNG (Gaslink) di Lokasi: Standar &amp; Ceklis Wajib</w:t>
      </w:r>
    </w:p>
    <w:p>
      <w:pPr>
        <w:pStyle w:val="FirstParagraph"/>
      </w:pPr>
      <w:r>
        <w:t xml:space="preserve">Begitu keputusan beralih ke gas bumi lewat</w:t>
      </w:r>
      <w:r>
        <w:t xml:space="preserve"> </w:t>
      </w:r>
      <w:hyperlink r:id="rId17">
        <w:r>
          <w:rPr>
            <w:rStyle w:val="Hyperlink"/>
          </w:rPr>
          <w:t xml:space="preserve">Gaslink</w:t>
        </w:r>
      </w:hyperlink>
      <w:r>
        <w:t xml:space="preserve"> </w:t>
      </w:r>
      <w:r>
        <w:t xml:space="preserve">diambil, pertanyaan kepala pabrik atau manajer fasilitas rumah sakit berubah dari</w:t>
      </w:r>
      <w:r>
        <w:t xml:space="preserve"> </w:t>
      </w:r>
      <w:r>
        <w:t xml:space="preserve">“apa itu CNG”</w:t>
      </w:r>
      <w:r>
        <w:t xml:space="preserve"> </w:t>
      </w:r>
      <w:r>
        <w:t xml:space="preserve">menjadi jauh lebih serius: aman tidak menaruh gas bertekanan tinggi di dekat dapur, boiler, atau ruang pasien, dan apa yang harus disiapkan agar lolos audit K3? Pertanyaan operasional ini, bila dijawab asal, berujung temuan inspeksi atau insiden. Artikel ini menjawabnya dari sudut manajer fasilitas: perangkat pengaman, ceklis kesiapan lokasi, dasar regulasi, dan pembagian tanggung jawab.</w:t>
      </w:r>
    </w:p>
    <w:p>
      <w:pPr>
        <w:pStyle w:val="BlockText"/>
      </w:pPr>
      <w:r>
        <w:rPr>
          <w:b/>
          <w:bCs/>
        </w:rPr>
        <w:t xml:space="preserve">Ringkasnya:</w:t>
      </w:r>
      <w:r>
        <w:t xml:space="preserve"> </w:t>
      </w:r>
      <w:r>
        <w:t xml:space="preserve">Keselamatan operasional CNG (</w:t>
      </w:r>
      <w:r>
        <w:rPr>
          <w:i/>
          <w:iCs/>
        </w:rPr>
        <w:t xml:space="preserve">Compressed Natural Gas</w:t>
      </w:r>
      <w:r>
        <w:t xml:space="preserve">) di lokasi pelanggan Gaslink adalah kombinasi antara sifat gas yang menguntungkan (lebih ringan dari udara, cepat menyebar saat bocor), perangkat pengaman berlapis seperti Pressure Reduction Station (PRS), gas detector, dan emergency shutdown, serta kepatuhan pada regulasi keselamatan instalasi migas seperti Permen ESDM No. 32 Tahun 2021.</w:t>
      </w:r>
    </w:p>
    <w:p>
      <w:pPr>
        <w:pStyle w:val="FirstParagraph"/>
      </w:pPr>
      <w:r>
        <w:rPr>
          <w:i/>
          <w:iCs/>
        </w:rPr>
        <w:t xml:space="preserve">[Image 01: Diagram rantai keselamatan instalasi CNG di lokasi pelanggan — alur horizontal dari truk GTM ke Pressure Reduction Station (PRS) lalu ke sistem perpipaan internal pabrik, dengan ikon perangkat pengaman (gas detector, emergency shutdown, ventilasi) ditandai di tiap tahap. Gaya korporat biru-putih, garis bersih, teks Bahasa Indonesia.]</w:t>
      </w:r>
    </w:p>
    <w:bookmarkStart w:id="18" w:name="X2bbd91fadcebab67cee53070cd33bfb0927be53"/>
    <w:p>
      <w:pPr>
        <w:pStyle w:val="Heading2"/>
      </w:pPr>
      <w:r>
        <w:t xml:space="preserve">Seberapa Aman CNG (Gaslink) di Lokasi Usaha, dan Apa yang Membuatnya Aman?</w:t>
      </w:r>
    </w:p>
    <w:p>
      <w:pPr>
        <w:pStyle w:val="FirstParagraph"/>
      </w:pPr>
      <w:r>
        <w:t xml:space="preserve">CNG dapat dioperasikan dengan aman di pabrik, hotel, atau rumah sakit ketika keamanannya dirancang, bukan diasumsikan. Sumbernya dua lapis: sifat fisik gas yang menguntungkan, dan disiplin desain serta prosedur di atasnya. Salah satu saja tidak cukup; instalasi bagus dengan tim yang abai tetap berisiko.</w:t>
      </w:r>
    </w:p>
    <w:p>
      <w:pPr>
        <w:pStyle w:val="BodyText"/>
      </w:pPr>
      <w:r>
        <w:t xml:space="preserve">Sifat fisik CNG memang membantu: karena lebih ringan dari udara, gas yang bocor cenderung menyebar naik ke atas dan tidak menggenang seperti LPG, sehingga risiko akumulasi di area rendah lebih kecil selama ventilasi memadai. Tetapi sifat gas bukan jaminan. Keamanan sesungguhnya datang dari lapisan yang bisa Anda kendalikan: penurunan tekanan yang benar, perangkat deteksi dan penutup otomatis, tata letak lokasi, dan tim yang paham prosedur.</w:t>
      </w:r>
    </w:p>
    <w:bookmarkEnd w:id="18"/>
    <w:bookmarkStart w:id="19" w:name="X75d0ff2091f6794b8a08ce424c738b91cd229d9"/>
    <w:p>
      <w:pPr>
        <w:pStyle w:val="Heading2"/>
      </w:pPr>
      <w:r>
        <w:t xml:space="preserve">Perangkat Pengaman pada Instalasi Gaslink dan Fungsinya</w:t>
      </w:r>
    </w:p>
    <w:p>
      <w:pPr>
        <w:pStyle w:val="FirstParagraph"/>
      </w:pPr>
      <w:r>
        <w:t xml:space="preserve">Instalasi CNG industri mengandalkan perangkat pengaman yang bekerja berlapis, bukan satu alat tunggal. Intinya adalah Pressure Reduction Station (PRS), titik kendali keselamatan utama: menurut halaman resmi PGN Gagas, CNG diangkut pada tekanan sekitar 200–250 bar, dan PRS-lah yang menurunkannya bertahap sebelum masuk ke boiler, oven, atau burner. Angka tekanan kerja keluaran (kerap disebut sekitar 0,8–1,5 bar) adalah rentang tipikal industri, bukan spesifikasi resmi PGN Gagas, dan perlu dikonfirmasi teknis lapangan sesuai peralatan Anda. Tabel berikut merangkum fungsi tiap perangkat.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Perangkat</w:t>
            </w:r>
          </w:p>
        </w:tc>
        <w:tc>
          <w:tcPr/>
          <w:p>
            <w:pPr>
              <w:pStyle w:val="Compact"/>
            </w:pPr>
            <w:r>
              <w:t xml:space="preserve">Fungsi utama</w:t>
            </w:r>
          </w:p>
        </w:tc>
        <w:tc>
          <w:tcPr/>
          <w:p>
            <w:pPr>
              <w:pStyle w:val="Compact"/>
            </w:pPr>
            <w:r>
              <w:t xml:space="preserve">Catatan</w:t>
            </w:r>
          </w:p>
        </w:tc>
      </w:tr>
      <w:tr>
        <w:tc>
          <w:tcPr/>
          <w:p>
            <w:pPr>
              <w:pStyle w:val="Compact"/>
            </w:pPr>
            <w:r>
              <w:t xml:space="preserve">Pressure Reduction Station (PRS)</w:t>
            </w:r>
          </w:p>
        </w:tc>
        <w:tc>
          <w:tcPr/>
          <w:p>
            <w:pPr>
              <w:pStyle w:val="Compact"/>
            </w:pPr>
            <w:r>
              <w:t xml:space="preserve">Menurunkan tekanan gas bertahap dari kisaran penyimpanan (±200–250 bar) ke tekanan kerja aman sebelum masuk perpipaan pelanggan</w:t>
            </w:r>
          </w:p>
        </w:tc>
        <w:tc>
          <w:tcPr/>
          <w:p>
            <w:pPr>
              <w:pStyle w:val="Compact"/>
            </w:pPr>
            <w:r>
              <w:t xml:space="preserve">Titik kendali keselamatan utama</w:t>
            </w:r>
          </w:p>
        </w:tc>
      </w:tr>
      <w:tr>
        <w:tc>
          <w:tcPr/>
          <w:p>
            <w:pPr>
              <w:pStyle w:val="Compact"/>
            </w:pPr>
            <w:r>
              <w:t xml:space="preserve">Pressure relief device / katup pengaman tekanan</w:t>
            </w:r>
          </w:p>
        </w:tc>
        <w:tc>
          <w:tcPr/>
          <w:p>
            <w:pPr>
              <w:pStyle w:val="Compact"/>
            </w:pPr>
            <w:r>
              <w:t xml:space="preserve">Melepaskan tekanan berlebih secara otomatis untuk mencegah kegagalan sistem</w:t>
            </w:r>
          </w:p>
        </w:tc>
        <w:tc>
          <w:tcPr/>
          <w:p>
            <w:pPr>
              <w:pStyle w:val="Compact"/>
            </w:pPr>
            <w:r>
              <w:t xml:space="preserve">Standar instalasi gas bertekanan tinggi</w:t>
            </w:r>
          </w:p>
        </w:tc>
      </w:tr>
      <w:tr>
        <w:tc>
          <w:tcPr/>
          <w:p>
            <w:pPr>
              <w:pStyle w:val="Compact"/>
            </w:pPr>
            <w:r>
              <w:t xml:space="preserve">Gas detector / detektor kebocoran gas</w:t>
            </w:r>
          </w:p>
        </w:tc>
        <w:tc>
          <w:tcPr/>
          <w:p>
            <w:pPr>
              <w:pStyle w:val="Compact"/>
            </w:pPr>
            <w:r>
              <w:t xml:space="preserve">Mendeteksi kebocoran sejak dini lewat sistem pemantauan</w:t>
            </w:r>
          </w:p>
        </w:tc>
        <w:tc>
          <w:tcPr/>
          <w:p>
            <w:pPr>
              <w:pStyle w:val="Compact"/>
            </w:pPr>
            <w:r>
              <w:t xml:space="preserve">Umum pada instalasi CNG industri</w:t>
            </w:r>
          </w:p>
        </w:tc>
      </w:tr>
      <w:tr>
        <w:tc>
          <w:tcPr/>
          <w:p>
            <w:pPr>
              <w:pStyle w:val="Compact"/>
            </w:pPr>
            <w:r>
              <w:t xml:space="preserve">Emergency shutdown / katup penutup otomatis</w:t>
            </w:r>
          </w:p>
        </w:tc>
        <w:tc>
          <w:tcPr/>
          <w:p>
            <w:pPr>
              <w:pStyle w:val="Compact"/>
            </w:pPr>
            <w:r>
              <w:t xml:space="preserve">Menghentikan aliran gas otomatis saat terdeteksi anomali tekanan atau kebocoran</w:t>
            </w:r>
          </w:p>
        </w:tc>
        <w:tc>
          <w:tcPr/>
          <w:p>
            <w:pPr>
              <w:pStyle w:val="Compact"/>
            </w:pPr>
            <w:r>
              <w:t xml:space="preserve">Lapisan pengaman aktif</w:t>
            </w:r>
          </w:p>
        </w:tc>
      </w:tr>
      <w:tr>
        <w:tc>
          <w:tcPr/>
          <w:p>
            <w:pPr>
              <w:pStyle w:val="Compact"/>
            </w:pPr>
            <w:r>
              <w:t xml:space="preserve">Ventilasi area</w:t>
            </w:r>
          </w:p>
        </w:tc>
        <w:tc>
          <w:tcPr/>
          <w:p>
            <w:pPr>
              <w:pStyle w:val="Compact"/>
            </w:pPr>
            <w:r>
              <w:t xml:space="preserve">Mencegah akumulasi gas di ruang tertutup</w:t>
            </w:r>
          </w:p>
        </w:tc>
        <w:tc>
          <w:tcPr/>
          <w:p>
            <w:pPr>
              <w:pStyle w:val="Compact"/>
            </w:pPr>
            <w:r>
              <w:t xml:space="preserve">Elemen desain lokasi, bukan sekadar perangkat</w:t>
            </w:r>
          </w:p>
        </w:tc>
      </w:tr>
      <w:tr>
        <w:tc>
          <w:tcPr/>
          <w:p>
            <w:pPr>
              <w:pStyle w:val="Compact"/>
            </w:pPr>
            <w:r>
              <w:t xml:space="preserve">Rambu zona bahaya &amp; jalur akses</w:t>
            </w:r>
          </w:p>
        </w:tc>
        <w:tc>
          <w:tcPr/>
          <w:p>
            <w:pPr>
              <w:pStyle w:val="Compact"/>
            </w:pPr>
            <w:r>
              <w:t xml:space="preserve">Menandai area terbatas dan jalur kendaraan pengangkut (GTM)</w:t>
            </w:r>
          </w:p>
        </w:tc>
        <w:tc>
          <w:tcPr/>
          <w:p>
            <w:pPr>
              <w:pStyle w:val="Compact"/>
            </w:pPr>
            <w:r>
              <w:t xml:space="preserve">Selaras konsep</w:t>
            </w:r>
            <w:r>
              <w:t xml:space="preserve"> </w:t>
            </w:r>
            <w:r>
              <w:t xml:space="preserve">“Daerah Terbatas”</w:t>
            </w:r>
            <w:r>
              <w:t xml:space="preserve"> </w:t>
            </w:r>
            <w:r>
              <w:t xml:space="preserve">dalam Permen ESDM 32/2021</w:t>
            </w:r>
          </w:p>
        </w:tc>
      </w:tr>
    </w:tbl>
    <w:p>
      <w:pPr>
        <w:pStyle w:val="BodyText"/>
      </w:pPr>
      <w:r>
        <w:t xml:space="preserve">Dua baris terakhir bukan alat mekanis, melainkan bagian dari desain lokasi, tempat lapisan keselamatan berikutnya berada.</w:t>
      </w:r>
    </w:p>
    <w:p>
      <w:pPr>
        <w:pStyle w:val="BodyText"/>
      </w:pPr>
      <w:r>
        <w:rPr>
          <w:i/>
          <w:iCs/>
        </w:rPr>
        <w:t xml:space="preserve">[Image 02: Infografis ceklis kesiapan lokasi bergaya</w:t>
      </w:r>
      <w:r>
        <w:rPr>
          <w:i/>
          <w:iCs/>
        </w:rPr>
        <w:t xml:space="preserve"> </w:t>
      </w:r>
      <w:r>
        <w:rPr>
          <w:i/>
          <w:iCs/>
        </w:rPr>
        <w:t xml:space="preserve">“screenshot-friendly”</w:t>
      </w:r>
      <w:r>
        <w:rPr>
          <w:i/>
          <w:iCs/>
        </w:rPr>
        <w:t xml:space="preserve"> </w:t>
      </w:r>
      <w:r>
        <w:rPr>
          <w:i/>
          <w:iCs/>
        </w:rPr>
        <w:t xml:space="preserve">— daftar bercentang vertikal berisi area PRS berventilasi &amp; bebas sumber api, jarak aman ke area berpenghuni, jalur akses GTM, rambu zona bahaya, jalur &amp; titik darurat, jadwal inspeksi berkala. Tiap poin punya ikon, warna hijau-abu, teks Bahasa Indonesia, dirancang agar mudah dibagikan tim K3 internal.]</w:t>
      </w:r>
    </w:p>
    <w:bookmarkEnd w:id="19"/>
    <w:bookmarkStart w:id="20" w:name="Xdf4c323d0219d09e6c1dfce300b05ad55b3a90a"/>
    <w:p>
      <w:pPr>
        <w:pStyle w:val="Heading2"/>
      </w:pPr>
      <w:r>
        <w:t xml:space="preserve">Ceklis Kesiapan Keselamatan Lokasi Sebelum dan Sesudah Instalasi</w:t>
      </w:r>
    </w:p>
    <w:p>
      <w:pPr>
        <w:pStyle w:val="FirstParagraph"/>
      </w:pPr>
      <w:r>
        <w:t xml:space="preserve">Kesiapan lokasi menentukan apakah instalasi CNG bisa dijalankan dengan aman dan lolos audit K3. Sebelum perangkat dipasang, lokasi perlu asesmen; setelah instalasi, fokus bergeser ke housekeeping dan inspeksi rutin. Ceklis berikut jadi titik awal diskusi dengan tim K3 dan penyedia Anda:</w:t>
      </w:r>
    </w:p>
    <w:p>
      <w:pPr>
        <w:pStyle w:val="Compact"/>
        <w:numPr>
          <w:ilvl w:val="0"/>
          <w:numId w:val="1001"/>
        </w:numPr>
      </w:pPr>
      <w:r>
        <w:rPr>
          <w:b/>
          <w:bCs/>
        </w:rPr>
        <w:t xml:space="preserve">Area PRS</w:t>
      </w:r>
      <w:r>
        <w:t xml:space="preserve"> </w:t>
      </w:r>
      <w:r>
        <w:t xml:space="preserve">berventilasi baik dan bebas sumber api, percikan, serta panas berlebih.</w:t>
      </w:r>
    </w:p>
    <w:p>
      <w:pPr>
        <w:pStyle w:val="Compact"/>
        <w:numPr>
          <w:ilvl w:val="0"/>
          <w:numId w:val="1001"/>
        </w:numPr>
      </w:pPr>
      <w:r>
        <w:rPr>
          <w:b/>
          <w:bCs/>
        </w:rPr>
        <w:t xml:space="preserve">Jarak aman</w:t>
      </w:r>
      <w:r>
        <w:t xml:space="preserve"> </w:t>
      </w:r>
      <w:r>
        <w:t xml:space="preserve">dari titik gas ke area berpenghuni: dapur, ruang pasien, area publik, atau lini produksi padat orang.</w:t>
      </w:r>
    </w:p>
    <w:p>
      <w:pPr>
        <w:pStyle w:val="Compact"/>
        <w:numPr>
          <w:ilvl w:val="0"/>
          <w:numId w:val="1001"/>
        </w:numPr>
      </w:pPr>
      <w:r>
        <w:rPr>
          <w:b/>
          <w:bCs/>
        </w:rPr>
        <w:t xml:space="preserve">Jalur akses GTM</w:t>
      </w:r>
      <w:r>
        <w:t xml:space="preserve"> </w:t>
      </w:r>
      <w:r>
        <w:t xml:space="preserve">(</w:t>
      </w:r>
      <w:r>
        <w:rPr>
          <w:i/>
          <w:iCs/>
        </w:rPr>
        <w:t xml:space="preserve">Gas Transportation Module</w:t>
      </w:r>
      <w:r>
        <w:t xml:space="preserve">) jelas, tidak terhalang, dan aman dilalui kendaraan pengangkut.</w:t>
      </w:r>
    </w:p>
    <w:p>
      <w:pPr>
        <w:pStyle w:val="Compact"/>
        <w:numPr>
          <w:ilvl w:val="0"/>
          <w:numId w:val="1001"/>
        </w:numPr>
      </w:pPr>
      <w:r>
        <w:rPr>
          <w:b/>
          <w:bCs/>
        </w:rPr>
        <w:t xml:space="preserve">Rambu zona bahaya</w:t>
      </w:r>
      <w:r>
        <w:t xml:space="preserve"> </w:t>
      </w:r>
      <w:r>
        <w:t xml:space="preserve">terpasang, menandai daerah terbatas sesuai prinsip regulasi.</w:t>
      </w:r>
    </w:p>
    <w:p>
      <w:pPr>
        <w:pStyle w:val="Compact"/>
        <w:numPr>
          <w:ilvl w:val="0"/>
          <w:numId w:val="1001"/>
        </w:numPr>
      </w:pPr>
      <w:r>
        <w:rPr>
          <w:b/>
          <w:bCs/>
        </w:rPr>
        <w:t xml:space="preserve">Jalur dan titik darurat</w:t>
      </w:r>
      <w:r>
        <w:t xml:space="preserve"> </w:t>
      </w:r>
      <w:r>
        <w:t xml:space="preserve">(evakuasi, alat pemadam, titik kumpul) tidak terhalang dan diketahui tim.</w:t>
      </w:r>
    </w:p>
    <w:p>
      <w:pPr>
        <w:pStyle w:val="Compact"/>
        <w:numPr>
          <w:ilvl w:val="0"/>
          <w:numId w:val="1001"/>
        </w:numPr>
      </w:pPr>
      <w:r>
        <w:rPr>
          <w:b/>
          <w:bCs/>
        </w:rPr>
        <w:t xml:space="preserve">Housekeeping</w:t>
      </w:r>
      <w:r>
        <w:t xml:space="preserve"> </w:t>
      </w:r>
      <w:r>
        <w:t xml:space="preserve">rutin: area bersih, tidak ada material mudah terbakar menumpuk di dekat instalasi.</w:t>
      </w:r>
    </w:p>
    <w:p>
      <w:pPr>
        <w:pStyle w:val="Compact"/>
        <w:numPr>
          <w:ilvl w:val="0"/>
          <w:numId w:val="1001"/>
        </w:numPr>
      </w:pPr>
      <w:r>
        <w:rPr>
          <w:b/>
          <w:bCs/>
        </w:rPr>
        <w:t xml:space="preserve">Jadwal inspeksi berkala</w:t>
      </w:r>
      <w:r>
        <w:t xml:space="preserve"> </w:t>
      </w:r>
      <w:r>
        <w:t xml:space="preserve">peralatan terdokumentasi, dengan penanggung jawab yang jelas.</w:t>
      </w:r>
    </w:p>
    <w:p>
      <w:pPr>
        <w:pStyle w:val="FirstParagraph"/>
      </w:pPr>
      <w:r>
        <w:t xml:space="preserve">Bila tim mencurigai kebocoran (bau tak biasa, suara desis, atau alarm gas detector berbunyi), langkah yang benar adalah eskalasi: hentikan aktivitas, evakuasi bila perlu, dan hubungi operator. Pemeriksaan teknis pada gas bertekanan tinggi bukan pekerjaan mandiri, tetapi tugas personel terlatih dan bersertifikasi.</w:t>
      </w:r>
    </w:p>
    <w:bookmarkEnd w:id="20"/>
    <w:bookmarkStart w:id="23" w:name="X966d20502e9687016d0be42da32ac3f64bc59fb"/>
    <w:p>
      <w:pPr>
        <w:pStyle w:val="Heading2"/>
      </w:pPr>
      <w:r>
        <w:t xml:space="preserve">Standar dan Regulasi yang Mengatur Keselamatan Gas Bumi Industri</w:t>
      </w:r>
    </w:p>
    <w:p>
      <w:pPr>
        <w:pStyle w:val="FirstParagraph"/>
      </w:pPr>
      <w:r>
        <w:t xml:space="preserve">Keselamatan instalasi gas bumi hilir di Indonesia diatur oleh Permen ESDM No. 32 Tahun 2021 tentang Inspeksi Teknis dan Pemeriksaan Keselamatan Instalasi dan Peralatan pada Kegiatan Usaha Minyak dan Gas Bumi. Regulasi ini mengatur penelaahan desain, inspeksi teknis berkala, dan analisis risiko bagi instalasi migas hilir, termasuk prinsip yang relevan bagi instalasi non-pipa.</w:t>
      </w:r>
    </w:p>
    <w:p>
      <w:pPr>
        <w:pStyle w:val="BodyText"/>
      </w:pPr>
      <w:r>
        <w:t xml:space="preserve">Namun perlu dibaca cermat. Menurut</w:t>
      </w:r>
      <w:r>
        <w:t xml:space="preserve"> </w:t>
      </w:r>
      <w:hyperlink r:id="rId21">
        <w:r>
          <w:rPr>
            <w:rStyle w:val="Hyperlink"/>
          </w:rPr>
          <w:t xml:space="preserve">sosialisasi resmi Ditjen Migas ESDM</w:t>
        </w:r>
      </w:hyperlink>
      <w:r>
        <w:t xml:space="preserve">, teks 32/2021 menyebut Instalasi SPBU dan pipa penyalur secara eksplisit. Karena CNG</w:t>
      </w:r>
      <w:r>
        <w:t xml:space="preserve"> </w:t>
      </w:r>
      <w:r>
        <w:rPr>
          <w:i/>
          <w:iCs/>
        </w:rPr>
        <w:t xml:space="preserve">beyond-pipeline</w:t>
      </w:r>
      <w:r>
        <w:t xml:space="preserve"> </w:t>
      </w:r>
      <w:r>
        <w:t xml:space="preserve">pada dasarnya instalasi hilir migas non-pipa, prinsip-prinsipnya relevan diterapkan, meski ini kesimpulan interpretatif, bukan kutipan yang harfiah menyebut</w:t>
      </w:r>
      <w:r>
        <w:t xml:space="preserve"> </w:t>
      </w:r>
      <w:r>
        <w:t xml:space="preserve">“instalasi CNG di lokasi pelanggan”</w:t>
      </w:r>
      <w:r>
        <w:t xml:space="preserve">. Secara praktis, setiap perubahan signifikan pada instalasi (misalnya modifikasi atau penambahan kapasitas) umumnya menuntut analisis risiko. Permen ESDM No. 38 Tahun 2017 adalah generasi aturan terdahulu dengan lingkup mirip; kini 32/2021 yang berlaku.</w:t>
      </w:r>
    </w:p>
    <w:p>
      <w:pPr>
        <w:pStyle w:val="BodyText"/>
      </w:pPr>
      <w:r>
        <w:t xml:space="preserve">Sisi sumber daya manusia diatur terpisah. Operator distribusi gas alam non-pipa, termasuk CNG di</w:t>
      </w:r>
      <w:r>
        <w:t xml:space="preserve"> </w:t>
      </w:r>
      <w:r>
        <w:rPr>
          <w:i/>
          <w:iCs/>
        </w:rPr>
        <w:t xml:space="preserve">mother station</w:t>
      </w:r>
      <w:r>
        <w:t xml:space="preserve"> </w:t>
      </w:r>
      <w:r>
        <w:t xml:space="preserve">dan</w:t>
      </w:r>
      <w:r>
        <w:t xml:space="preserve"> </w:t>
      </w:r>
      <w:r>
        <w:rPr>
          <w:i/>
          <w:iCs/>
        </w:rPr>
        <w:t xml:space="preserve">daughter station</w:t>
      </w:r>
      <w:r>
        <w:t xml:space="preserve">, mengikuti sertifikasi kompetensi berbasis SKKNI di bawah Permen ESDM No. 5 Tahun 2015, lewat lembaga seperti</w:t>
      </w:r>
      <w:r>
        <w:t xml:space="preserve"> </w:t>
      </w:r>
      <w:hyperlink r:id="rId22">
        <w:r>
          <w:rPr>
            <w:rStyle w:val="Hyperlink"/>
          </w:rPr>
          <w:t xml:space="preserve">PPSDM Migas</w:t>
        </w:r>
      </w:hyperlink>
      <w:r>
        <w:t xml:space="preserve">. Di level korporat, penyedia bersertifikat ISO 45001:2018 menstandarkan prosedur instalasi dan inspeksinya lewat sistem manajemen K3 yang teraudit.</w:t>
      </w:r>
    </w:p>
    <w:p>
      <w:pPr>
        <w:pStyle w:val="BodyText"/>
      </w:pPr>
      <w:r>
        <w:t xml:space="preserve">Satu koreksi yang sering terlewat: rujukan ISO 15403 dan NFPA 52 yang muncul di sejumlah artikel keselamatan CNG secara resmi berlingkup sistem bahan bakar gas untuk kendaraan (</w:t>
      </w:r>
      <w:r>
        <w:rPr>
          <w:i/>
          <w:iCs/>
        </w:rPr>
        <w:t xml:space="preserve">vehicular fuel systems</w:t>
      </w:r>
      <w:r>
        <w:t xml:space="preserve">), bukan instalasi industri stasioner. Keduanya berguna sebagai rujukan umum keselamatan gas bertekanan, tetapi bukan standar wajib untuk instalasi CNG di lokasi pabrik.</w:t>
      </w:r>
    </w:p>
    <w:bookmarkEnd w:id="23"/>
    <w:bookmarkStart w:id="24" w:name="X25f0799713de3561a17ed6adf46395ddecfe74a"/>
    <w:p>
      <w:pPr>
        <w:pStyle w:val="Heading2"/>
      </w:pPr>
      <w:r>
        <w:t xml:space="preserve">Mitos vs Fakta: Apakah CNG Sebahaya yang Dikira, dan Kapan Lokasi Belum Layak?</w:t>
      </w:r>
    </w:p>
    <w:p>
      <w:pPr>
        <w:pStyle w:val="FirstParagraph"/>
      </w:pPr>
      <w:r>
        <w:t xml:space="preserve">CNG tidak</w:t>
      </w:r>
      <w:r>
        <w:t xml:space="preserve"> </w:t>
      </w:r>
      <w:r>
        <w:t xml:space="preserve">“otomatis lebih aman”</w:t>
      </w:r>
      <w:r>
        <w:t xml:space="preserve"> </w:t>
      </w:r>
      <w:r>
        <w:t xml:space="preserve">dari LPG, tetapi profil risikonya berbeda dan dapat dikelola. CNG memang disimpan pada tekanan jauh lebih tinggi (sekitar 200–250 bar dibanding LPG sekitar 5–10 bar), tetapi sifatnya yang lebih ringan dari udara membuat gas bocor menyebar ke atas alih-alih menggenang. Mitos</w:t>
      </w:r>
      <w:r>
        <w:t xml:space="preserve"> </w:t>
      </w:r>
      <w:r>
        <w:t xml:space="preserve">“CNG sama dengan bom”</w:t>
      </w:r>
      <w:r>
        <w:t xml:space="preserve"> </w:t>
      </w:r>
      <w:r>
        <w:t xml:space="preserve">mengabaikan hal ini: gas yang cepat menyebar lebih sulit terakumulasi hingga konsentrasi berbahaya dibanding gas berat yang mengendap.</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Aspek</w:t>
            </w:r>
          </w:p>
        </w:tc>
        <w:tc>
          <w:tcPr/>
          <w:p>
            <w:pPr>
              <w:pStyle w:val="Compact"/>
            </w:pPr>
            <w:r>
              <w:t xml:space="preserve">CNG</w:t>
            </w:r>
          </w:p>
        </w:tc>
        <w:tc>
          <w:tcPr/>
          <w:p>
            <w:pPr>
              <w:pStyle w:val="Compact"/>
            </w:pPr>
            <w:r>
              <w:t xml:space="preserve">LPG</w:t>
            </w:r>
          </w:p>
        </w:tc>
      </w:tr>
      <w:tr>
        <w:tc>
          <w:tcPr/>
          <w:p>
            <w:pPr>
              <w:pStyle w:val="Compact"/>
            </w:pPr>
            <w:r>
              <w:t xml:space="preserve">Tekanan penyimpanan tipikal</w:t>
            </w:r>
          </w:p>
        </w:tc>
        <w:tc>
          <w:tcPr/>
          <w:p>
            <w:pPr>
              <w:pStyle w:val="Compact"/>
            </w:pPr>
            <w:r>
              <w:t xml:space="preserve">±200–250 bar</w:t>
            </w:r>
          </w:p>
        </w:tc>
        <w:tc>
          <w:tcPr/>
          <w:p>
            <w:pPr>
              <w:pStyle w:val="Compact"/>
            </w:pPr>
            <w:r>
              <w:t xml:space="preserve">±5–10 bar</w:t>
            </w:r>
          </w:p>
        </w:tc>
      </w:tr>
      <w:tr>
        <w:tc>
          <w:tcPr/>
          <w:p>
            <w:pPr>
              <w:pStyle w:val="Compact"/>
            </w:pPr>
            <w:r>
              <w:t xml:space="preserve">Perilaku saat bocor</w:t>
            </w:r>
          </w:p>
        </w:tc>
        <w:tc>
          <w:tcPr/>
          <w:p>
            <w:pPr>
              <w:pStyle w:val="Compact"/>
            </w:pPr>
            <w:r>
              <w:t xml:space="preserve">Lebih ringan dari udara, menyebar ke atas</w:t>
            </w:r>
          </w:p>
        </w:tc>
        <w:tc>
          <w:tcPr/>
          <w:p>
            <w:pPr>
              <w:pStyle w:val="Compact"/>
            </w:pPr>
            <w:r>
              <w:t xml:space="preserve">Lebih berat dari udara, menggenang di area rendah</w:t>
            </w:r>
          </w:p>
        </w:tc>
      </w:tr>
      <w:tr>
        <w:tc>
          <w:tcPr/>
          <w:p>
            <w:pPr>
              <w:pStyle w:val="Compact"/>
            </w:pPr>
            <w:r>
              <w:t xml:space="preserve">Implikasi desain lokasi</w:t>
            </w:r>
          </w:p>
        </w:tc>
        <w:tc>
          <w:tcPr/>
          <w:p>
            <w:pPr>
              <w:pStyle w:val="Compact"/>
            </w:pPr>
            <w:r>
              <w:t xml:space="preserve">Instalasi lebih kuat; utamakan ventilasi atas</w:t>
            </w:r>
          </w:p>
        </w:tc>
        <w:tc>
          <w:tcPr/>
          <w:p>
            <w:pPr>
              <w:pStyle w:val="Compact"/>
            </w:pPr>
            <w:r>
              <w:t xml:space="preserve">Deteksi genangan; ventilasi bawah</w:t>
            </w:r>
          </w:p>
        </w:tc>
      </w:tr>
    </w:tbl>
    <w:p>
      <w:pPr>
        <w:pStyle w:val="BodyText"/>
      </w:pPr>
      <w:r>
        <w:t xml:space="preserve">Sekarang bagian yang jarang ditulis penyedia: kapan lokasi Anda memang belum layak. Bila salah satu kondisi berikut ada, perbaiki dulu sebelum instalasi:</w:t>
      </w:r>
    </w:p>
    <w:p>
      <w:pPr>
        <w:pStyle w:val="Compact"/>
        <w:numPr>
          <w:ilvl w:val="0"/>
          <w:numId w:val="1002"/>
        </w:numPr>
      </w:pPr>
      <w:r>
        <w:rPr>
          <w:b/>
          <w:bCs/>
        </w:rPr>
        <w:t xml:space="preserve">Ventilasi buruk yang tidak bisa diperbaiki</w:t>
      </w:r>
      <w:r>
        <w:t xml:space="preserve">: ruang tertutup tanpa aliran udara memadai untuk area gas.</w:t>
      </w:r>
    </w:p>
    <w:p>
      <w:pPr>
        <w:pStyle w:val="Compact"/>
        <w:numPr>
          <w:ilvl w:val="0"/>
          <w:numId w:val="1002"/>
        </w:numPr>
      </w:pPr>
      <w:r>
        <w:rPr>
          <w:b/>
          <w:bCs/>
        </w:rPr>
        <w:t xml:space="preserve">Tidak ada ruang untuk jarak aman</w:t>
      </w:r>
      <w:r>
        <w:t xml:space="preserve">: PRS terpaksa berdempetan dengan dapur, ruang pasien, atau sumber api.</w:t>
      </w:r>
    </w:p>
    <w:p>
      <w:pPr>
        <w:pStyle w:val="Compact"/>
        <w:numPr>
          <w:ilvl w:val="0"/>
          <w:numId w:val="1002"/>
        </w:numPr>
      </w:pPr>
      <w:r>
        <w:rPr>
          <w:b/>
          <w:bCs/>
        </w:rPr>
        <w:t xml:space="preserve">Tim belum siap</w:t>
      </w:r>
      <w:r>
        <w:t xml:space="preserve">: tidak ada personel yang memahami prosedur darurat dasar dan alur eskalasi.</w:t>
      </w:r>
    </w:p>
    <w:p>
      <w:pPr>
        <w:pStyle w:val="FirstParagraph"/>
      </w:pPr>
      <w:r>
        <w:t xml:space="preserve">Menunda instalasi sampai tiga hal ini beres bukan kegagalan, melainkan keputusan K3 yang tepat.</w:t>
      </w:r>
    </w:p>
    <w:p>
      <w:pPr>
        <w:pStyle w:val="BodyText"/>
      </w:pPr>
      <w:r>
        <w:rPr>
          <w:i/>
          <w:iCs/>
        </w:rPr>
        <w:t xml:space="preserve">[Image 03: Infografis perbandingan visual CNG vs LPG — dua kolom berdampingan menampilkan angka tekanan penyimpanan (200–250 bar vs 5–10 bar) dan ilustrasi perilaku gas bocor (CNG panah menyebar ke atas, LPG menggenang di area rendah). Warna kontras biru (CNG) vs oranye (LPG), teks Bahasa Indonesia, gaya bersih untuk mematahkan mitos.]</w:t>
      </w:r>
    </w:p>
    <w:bookmarkEnd w:id="24"/>
    <w:bookmarkStart w:id="30" w:name="faq-pertanyaan-yang-sering-diajukan"/>
    <w:p>
      <w:pPr>
        <w:pStyle w:val="Heading2"/>
      </w:pPr>
      <w:r>
        <w:t xml:space="preserve">FAQ (Pertanyaan yang Sering Diajukan)</w:t>
      </w:r>
    </w:p>
    <w:bookmarkStart w:id="25" w:name="Xc457829562c768cfc54cff747352efaad999ca8"/>
    <w:p>
      <w:pPr>
        <w:pStyle w:val="Heading3"/>
      </w:pPr>
      <w:r>
        <w:t xml:space="preserve">Apakah CNG (Gaslink) aman digunakan di lokasi pabrik, hotel, atau rumah sakit?</w:t>
      </w:r>
    </w:p>
    <w:p>
      <w:pPr>
        <w:pStyle w:val="FirstParagraph"/>
      </w:pPr>
      <w:r>
        <w:t xml:space="preserve">CNG dapat dipakai aman di lokasi industri dan komersial bila instalasi mengikuti standar: pemasangan Pressure Reduction Station (PRS), perangkat deteksi kebocoran, dan kepatuhan pada regulasi inspeksi teknis migas seperti Permen ESDM No. 32 Tahun 2021. Keamanannya berasal dari sifat gas yang lebih ringan dari udara ditambah disiplin prosedur, bukan sifat gas semata.</w:t>
      </w:r>
    </w:p>
    <w:bookmarkEnd w:id="25"/>
    <w:bookmarkStart w:id="26" w:name="Xb93b5ed6df13a3fe38fa944cffb5329257a57f3"/>
    <w:p>
      <w:pPr>
        <w:pStyle w:val="Heading3"/>
      </w:pPr>
      <w:r>
        <w:t xml:space="preserve">Apa itu Pressure Reduction Station dan perannya dalam keselamatan?</w:t>
      </w:r>
    </w:p>
    <w:p>
      <w:pPr>
        <w:pStyle w:val="FirstParagraph"/>
      </w:pPr>
      <w:r>
        <w:t xml:space="preserve">Pressure Reduction Station (PRS) adalah instalasi di lokasi pelanggan yang menurunkan tekanan CNG secara bertahap dari kisaran pengangkutan (sekitar 200–250 bar) ke tekanan kerja aman sebelum masuk perpipaan internal fasilitas. Dengan mencegah lonjakan tekanan yang membebani peralatan pelanggan, PRS menjadi titik kendali keselamatan utama pada distribusi CNG</w:t>
      </w:r>
      <w:r>
        <w:t xml:space="preserve"> </w:t>
      </w:r>
      <w:r>
        <w:rPr>
          <w:i/>
          <w:iCs/>
        </w:rPr>
        <w:t xml:space="preserve">beyond-pipeline</w:t>
      </w:r>
      <w:r>
        <w:t xml:space="preserve">.</w:t>
      </w:r>
    </w:p>
    <w:bookmarkEnd w:id="26"/>
    <w:bookmarkStart w:id="27" w:name="apakah-cng-lebih-berbahaya-daripada-lpg"/>
    <w:p>
      <w:pPr>
        <w:pStyle w:val="Heading3"/>
      </w:pPr>
      <w:r>
        <w:t xml:space="preserve">Apakah CNG lebih berbahaya daripada LPG?</w:t>
      </w:r>
    </w:p>
    <w:p>
      <w:pPr>
        <w:pStyle w:val="FirstParagraph"/>
      </w:pPr>
      <w:r>
        <w:t xml:space="preserve">Profil risikonya berbeda, bukan berarti salah satu mutlak lebih aman. CNG disimpan pada tekanan jauh lebih tinggi (sekitar 200–250 bar vs LPG sekitar 5–10 bar), menuntut instalasi lebih kuat; tetapi sifatnya yang lebih ringan dari udara membuat gas bocor menyebar ke atas, tidak menggenang seperti LPG. Keduanya menuntut manajemen risiko sesuai karakteristiknya.</w:t>
      </w:r>
    </w:p>
    <w:bookmarkEnd w:id="27"/>
    <w:bookmarkStart w:id="28" w:name="X1e29e370cf438d41b440fe77b12d849115e8934"/>
    <w:p>
      <w:pPr>
        <w:pStyle w:val="Heading3"/>
      </w:pPr>
      <w:r>
        <w:t xml:space="preserve">Siapa yang bertanggung jawab atas keselamatan, penyedia atau pelanggan?</w:t>
      </w:r>
    </w:p>
    <w:p>
      <w:pPr>
        <w:pStyle w:val="FirstParagraph"/>
      </w:pPr>
      <w:r>
        <w:t xml:space="preserve">Tanggung jawab dibagi. Penyedia CNG umumnya menangani desain dan instalasi peralatan seperti PRS, kalibrasi sesuai standar K3, serta kepatuhan pada inspeksi teknis. Pelanggan bertanggung jawab atas kesiapan lokasi: ventilasi, jarak aman, housekeeping, akses jalur darurat, dan kesiapan tim internal.</w:t>
      </w:r>
    </w:p>
    <w:bookmarkEnd w:id="28"/>
    <w:bookmarkStart w:id="29" w:name="X15b93c3c30385f9540057348aea4a417026d464"/>
    <w:p>
      <w:pPr>
        <w:pStyle w:val="Heading3"/>
      </w:pPr>
      <w:r>
        <w:t xml:space="preserve">Apakah operator atau tim internal kami perlu sertifikasi khusus?</w:t>
      </w:r>
    </w:p>
    <w:p>
      <w:pPr>
        <w:pStyle w:val="FirstParagraph"/>
      </w:pPr>
      <w:r>
        <w:t xml:space="preserve">Operator distribusi gas alam non-pipa (termasuk CNG di</w:t>
      </w:r>
      <w:r>
        <w:t xml:space="preserve"> </w:t>
      </w:r>
      <w:r>
        <w:rPr>
          <w:i/>
          <w:iCs/>
        </w:rPr>
        <w:t xml:space="preserve">mother station</w:t>
      </w:r>
      <w:r>
        <w:t xml:space="preserve"> </w:t>
      </w:r>
      <w:r>
        <w:t xml:space="preserve">dan</w:t>
      </w:r>
      <w:r>
        <w:t xml:space="preserve"> </w:t>
      </w:r>
      <w:r>
        <w:rPr>
          <w:i/>
          <w:iCs/>
        </w:rPr>
        <w:t xml:space="preserve">daughter station</w:t>
      </w:r>
      <w:r>
        <w:t xml:space="preserve">) wajib mengikuti sertifikasi kompetensi berbasis SKKNI di bawah Permen ESDM No. 5 Tahun 2015, lewat lembaga seperti PPSDM Migas. Untuk tim internal pelanggan, kebutuhannya umumnya sebatas pengenalan prosedur darurat dan housekeeping dasar, bukan sertifikasi penuh.</w:t>
      </w:r>
    </w:p>
    <w:bookmarkEnd w:id="29"/>
    <w:bookmarkEnd w:id="30"/>
    <w:bookmarkStart w:id="33" w:name="kesimpulan"/>
    <w:p>
      <w:pPr>
        <w:pStyle w:val="Heading2"/>
      </w:pPr>
      <w:r>
        <w:t xml:space="preserve">Kesimpulan</w:t>
      </w:r>
    </w:p>
    <w:p>
      <w:pPr>
        <w:pStyle w:val="FirstParagraph"/>
      </w:pPr>
      <w:r>
        <w:t xml:space="preserve">Keamanan CNG di lokasi Anda bukan soal satu alat atau satu sertifikat, melainkan rantai: sifat gas yang menguntungkan, perangkat pengaman berlapis, lokasi yang disiapkan benar, tim yang paham eskalasi, dan kepatuhan pada Permen ESDM No. 32 Tahun 2021. Disiplin di kelima lapisan itulah yang membedakan instalasi yang tenang dari yang selalu waswas. Sebagai anak usaha PGN yang merupakan bagian dari Subholding Gas Pertamina, PGN Gagas menghadirkan gas bumi lewat solusi CNG seperti Gaslink dengan instalasi berpedoman kerangka K3 dan status pemegang ISO 45001:2018, sehingga nasihat keselamatan datang dari pihak yang benar-benar mengoperasikannya. Prinsip pengelolaan gas bertekanan yang sama juga berlaku pada</w:t>
      </w:r>
      <w:r>
        <w:t xml:space="preserve"> </w:t>
      </w:r>
      <w:hyperlink r:id="rId31">
        <w:r>
          <w:rPr>
            <w:rStyle w:val="Hyperlink"/>
          </w:rPr>
          <w:t xml:space="preserve">Gasku untuk kendaraan berbahan bakar gas</w:t>
        </w:r>
      </w:hyperlink>
      <w:r>
        <w:t xml:space="preserve">, dan keselamatan serta sertifikasi memang menjadi kriteria inti saat menilai</w:t>
      </w:r>
      <w:r>
        <w:t xml:space="preserve"> </w:t>
      </w:r>
      <w:hyperlink r:id="rId32">
        <w:r>
          <w:rPr>
            <w:rStyle w:val="Hyperlink"/>
          </w:rPr>
          <w:t xml:space="preserve">penyedia CNG di Indonesia</w:t>
        </w:r>
      </w:hyperlink>
      <w:r>
        <w:t xml:space="preserve">.</w:t>
      </w:r>
    </w:p>
    <w:p>
      <w:pPr>
        <w:pStyle w:val="BodyText"/>
      </w:pPr>
      <w:r>
        <w:t xml:space="preserve">Untuk mendiskusikan kesiapan lokasi dan keselamatan instalasi CNG di fasilitas Anda, kunjungi gagas.co.id.</w:t>
      </w:r>
    </w:p>
    <w:bookmarkEnd w:id="33"/>
    <w:bookmarkEnd w:id="34"/>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2" Target="https://bpsdm.esdm.go.id/posts/2022/11/24/ppsdm-migas-dan-pjb-gresik-optimalkan-kompetensi-operator-distribusi-gas-alam-dan-buatan-non-pipa/2175" TargetMode="External" /><Relationship Type="http://schemas.openxmlformats.org/officeDocument/2006/relationships/hyperlink" Id="rId31" Target="https://gagas.co.id/gasku/" TargetMode="External" /><Relationship Type="http://schemas.openxmlformats.org/officeDocument/2006/relationships/hyperlink" Id="rId17" Target="https://gagas.co.id/gaslink/" TargetMode="External" /><Relationship Type="http://schemas.openxmlformats.org/officeDocument/2006/relationships/hyperlink" Id="rId32" Target="https://gagas.co.id/perusahaan-cng-indonesia/" TargetMode="External" /><Relationship Type="http://schemas.openxmlformats.org/officeDocument/2006/relationships/hyperlink" Id="rId21" Target="https://migas.esdm.go.id/post/sosialisasi-permen-esdm-32-tahun-2021-simplifikasi-regulasi-inspeksi-teknis-dan-pemeriksaan-keselamatan-instalasi-migas" TargetMode="External" /></Relationships>
</file>

<file path=word/_rels/footnotes.xml.rels><?xml version="1.0" encoding="UTF-8"?><Relationships xmlns="http://schemas.openxmlformats.org/package/2006/relationships"><Relationship Type="http://schemas.openxmlformats.org/officeDocument/2006/relationships/hyperlink" Id="rId22" Target="https://bpsdm.esdm.go.id/posts/2022/11/24/ppsdm-migas-dan-pjb-gresik-optimalkan-kompetensi-operator-distribusi-gas-alam-dan-buatan-non-pipa/2175" TargetMode="External" /><Relationship Type="http://schemas.openxmlformats.org/officeDocument/2006/relationships/hyperlink" Id="rId31" Target="https://gagas.co.id/gasku/" TargetMode="External" /><Relationship Type="http://schemas.openxmlformats.org/officeDocument/2006/relationships/hyperlink" Id="rId17" Target="https://gagas.co.id/gaslink/" TargetMode="External" /><Relationship Type="http://schemas.openxmlformats.org/officeDocument/2006/relationships/hyperlink" Id="rId32" Target="https://gagas.co.id/perusahaan-cng-indonesia/" TargetMode="External" /><Relationship Type="http://schemas.openxmlformats.org/officeDocument/2006/relationships/hyperlink" Id="rId21" Target="https://migas.esdm.go.id/post/sosialisasi-permen-esdm-32-tahun-2021-simplifikasi-regulasi-inspeksi-teknis-dan-pemeriksaan-keselamatan-instalasi-miga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2026-07-08T03:07:36Z</dcterms:created>
  <dcterms:modified xsi:type="dcterms:W3CDTF">2026-07-08T03:07:36Z</dcterms:modified>
</cp:coreProperties>
</file>

<file path=docProps/custom.xml><?xml version="1.0" encoding="utf-8"?>
<Properties xmlns="http://schemas.openxmlformats.org/officeDocument/2006/custom-properties" xmlns:vt="http://schemas.openxmlformats.org/officeDocument/2006/docPropsVTypes"/>
</file>