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"Gaslink &amp; Dekarbonisasi: Turunkan Emisi Scope 1 Industri"</w:t>
      </w:r>
      <w:r>
        <w:br/>
      </w:r>
      <w:r>
        <w:rPr>
          <w:rStyle w:val="FunctionTok"/>
        </w:rPr>
        <w:t xml:space="preserve">meta_title</w:t>
      </w:r>
      <w:r>
        <w:rPr>
          <w:rStyle w:val="KeywordTok"/>
        </w:rPr>
        <w:t xml:space="preserve">:</w:t>
      </w:r>
      <w:r>
        <w:rPr>
          <w:rStyle w:val="AttributeTok"/>
        </w:rPr>
        <w:t xml:space="preserve"> </w:t>
      </w:r>
      <w:r>
        <w:rPr>
          <w:rStyle w:val="StringTok"/>
        </w:rPr>
        <w:t xml:space="preserve">"Gaslink &amp; Dekarbonisasi: Turunkan Emisi Scope 1"</w:t>
      </w:r>
      <w:r>
        <w:br/>
      </w:r>
      <w:r>
        <w:rPr>
          <w:rStyle w:val="FunctionTok"/>
        </w:rPr>
        <w:t xml:space="preserve">meta_description</w:t>
      </w:r>
      <w:r>
        <w:rPr>
          <w:rStyle w:val="KeywordTok"/>
        </w:rPr>
        <w:t xml:space="preserve">:</w:t>
      </w:r>
      <w:r>
        <w:rPr>
          <w:rStyle w:val="AttributeTok"/>
        </w:rPr>
        <w:t xml:space="preserve"> </w:t>
      </w:r>
      <w:r>
        <w:rPr>
          <w:rStyle w:val="StringTok"/>
        </w:rPr>
        <w:t xml:space="preserve">"Gaslink &amp; fuel switching ke gas bumi menurunkan emisi Scope 1 industri ~29% vs solar. Faktor emisi CO2, cara hitung, dan konteks NDC/NZE 2060."</w:t>
      </w:r>
      <w:r>
        <w:br/>
      </w:r>
      <w:r>
        <w:rPr>
          <w:rStyle w:val="FunctionTok"/>
        </w:rPr>
        <w:t xml:space="preserve">slug</w:t>
      </w:r>
      <w:r>
        <w:rPr>
          <w:rStyle w:val="KeywordTok"/>
        </w:rPr>
        <w:t xml:space="preserve">:</w:t>
      </w:r>
      <w:r>
        <w:rPr>
          <w:rStyle w:val="AttributeTok"/>
        </w:rPr>
        <w:t xml:space="preserve"> </w:t>
      </w:r>
      <w:r>
        <w:rPr>
          <w:rStyle w:val="StringTok"/>
        </w:rPr>
        <w:t xml:space="preserve">"gaslink-dekarbonisasi-emisi-scope-1-industri"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"Gaslink"</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"dekarbonisasi industri"</w:t>
      </w:r>
      <w:r>
        <w:br/>
      </w:r>
      <w:r>
        <w:rPr>
          <w:rStyle w:val="AttributeTok"/>
        </w:rPr>
        <w:t xml:space="preserve">  </w:t>
      </w:r>
      <w:r>
        <w:rPr>
          <w:rStyle w:val="KeywordTok"/>
        </w:rPr>
        <w:t xml:space="preserve">-</w:t>
      </w:r>
      <w:r>
        <w:rPr>
          <w:rStyle w:val="AttributeTok"/>
        </w:rPr>
        <w:t xml:space="preserve"> </w:t>
      </w:r>
      <w:r>
        <w:rPr>
          <w:rStyle w:val="StringTok"/>
        </w:rPr>
        <w:t xml:space="preserve">"emisi Scope 1"</w:t>
      </w:r>
      <w:r>
        <w:br/>
      </w:r>
      <w:r>
        <w:rPr>
          <w:rStyle w:val="AttributeTok"/>
        </w:rPr>
        <w:t xml:space="preserve">  </w:t>
      </w:r>
      <w:r>
        <w:rPr>
          <w:rStyle w:val="KeywordTok"/>
        </w:rPr>
        <w:t xml:space="preserve">-</w:t>
      </w:r>
      <w:r>
        <w:rPr>
          <w:rStyle w:val="AttributeTok"/>
        </w:rPr>
        <w:t xml:space="preserve"> </w:t>
      </w:r>
      <w:r>
        <w:rPr>
          <w:rStyle w:val="StringTok"/>
        </w:rPr>
        <w:t xml:space="preserve">"fuel switching gas bumi"</w:t>
      </w:r>
      <w:r>
        <w:br/>
      </w:r>
      <w:r>
        <w:rPr>
          <w:rStyle w:val="AttributeTok"/>
        </w:rPr>
        <w:t xml:space="preserve">  </w:t>
      </w:r>
      <w:r>
        <w:rPr>
          <w:rStyle w:val="KeywordTok"/>
        </w:rPr>
        <w:t xml:space="preserve">-</w:t>
      </w:r>
      <w:r>
        <w:rPr>
          <w:rStyle w:val="AttributeTok"/>
        </w:rPr>
        <w:t xml:space="preserve"> </w:t>
      </w:r>
      <w:r>
        <w:rPr>
          <w:rStyle w:val="StringTok"/>
        </w:rPr>
        <w:t xml:space="preserve">"faktor emisi CO2"</w:t>
      </w:r>
      <w:r>
        <w:br/>
      </w:r>
      <w:r>
        <w:rPr>
          <w:rStyle w:val="AttributeTok"/>
        </w:rPr>
        <w:t xml:space="preserve">  </w:t>
      </w:r>
      <w:r>
        <w:rPr>
          <w:rStyle w:val="KeywordTok"/>
        </w:rPr>
        <w:t xml:space="preserve">-</w:t>
      </w:r>
      <w:r>
        <w:rPr>
          <w:rStyle w:val="AttributeTok"/>
        </w:rPr>
        <w:t xml:space="preserve"> </w:t>
      </w:r>
      <w:r>
        <w:rPr>
          <w:rStyle w:val="StringTok"/>
        </w:rPr>
        <w:t xml:space="preserve">"Net Zero Emission 2060"</w:t>
      </w:r>
      <w:r>
        <w:br/>
      </w:r>
      <w:r>
        <w:rPr>
          <w:rStyle w:val="AttributeTok"/>
        </w:rPr>
        <w:t xml:space="preserve">  </w:t>
      </w:r>
      <w:r>
        <w:rPr>
          <w:rStyle w:val="KeywordTok"/>
        </w:rPr>
        <w:t xml:space="preserve">-</w:t>
      </w:r>
      <w:r>
        <w:rPr>
          <w:rStyle w:val="AttributeTok"/>
        </w:rPr>
        <w:t xml:space="preserve"> </w:t>
      </w:r>
      <w:r>
        <w:rPr>
          <w:rStyle w:val="StringTok"/>
        </w:rPr>
        <w:t xml:space="preserve">"Nilai Ekonomi Karbon"</w:t>
      </w:r>
      <w:r>
        <w:br/>
      </w:r>
      <w:r>
        <w:rPr>
          <w:rStyle w:val="AttributeTok"/>
        </w:rPr>
        <w:t xml:space="preserve">  </w:t>
      </w:r>
      <w:r>
        <w:rPr>
          <w:rStyle w:val="KeywordTok"/>
        </w:rPr>
        <w:t xml:space="preserve">-</w:t>
      </w:r>
      <w:r>
        <w:rPr>
          <w:rStyle w:val="AttributeTok"/>
        </w:rPr>
        <w:t xml:space="preserve"> </w:t>
      </w:r>
      <w:r>
        <w:rPr>
          <w:rStyle w:val="StringTok"/>
        </w:rPr>
        <w:t xml:space="preserve">"pajak karbon"</w:t>
      </w:r>
      <w:r>
        <w:br/>
      </w:r>
      <w:r>
        <w:rPr>
          <w:rStyle w:val="AttributeTok"/>
        </w:rPr>
        <w:t xml:space="preserve">  </w:t>
      </w:r>
      <w:r>
        <w:rPr>
          <w:rStyle w:val="KeywordTok"/>
        </w:rPr>
        <w:t xml:space="preserve">-</w:t>
      </w:r>
      <w:r>
        <w:rPr>
          <w:rStyle w:val="AttributeTok"/>
        </w:rPr>
        <w:t xml:space="preserve"> </w:t>
      </w:r>
      <w:r>
        <w:rPr>
          <w:rStyle w:val="StringTok"/>
        </w:rPr>
        <w:t xml:space="preserve">"Standar Industri Hijau"</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untuk industri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 untuk konversi BBM ke BBG"</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"https://www.eia.gov/environment/emissions/co2_vol_mass.php"</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"Faktor emisi CO2 pembakaran gas bumi, LPG, dan solar per MMBtu"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"https://www.esdm.go.id/id/media-center/arsip-berita/indonesia-tetapkan-e-ndc-sektor-energi-miliki-target-tekan-emisi-358-juta-co2-di-2030"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"Target E-NDC 32% / 912 juta ton CO2 pada 2030 dan target sektor energi 358 juta ton"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"https://www.iea.org/reports/global-methane-tracker-2025/key-findings"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"Bagian jujur: gas bumi tetap fosil dan emisi metana rantai pasok"</w:t>
      </w:r>
      <w:r>
        <w:br/>
      </w:r>
      <w:r>
        <w:rPr>
          <w:rStyle w:val="FunctionTok"/>
        </w:rPr>
        <w:t xml:space="preserve">brief_id</w:t>
      </w:r>
      <w:r>
        <w:rPr>
          <w:rStyle w:val="KeywordTok"/>
        </w:rPr>
        <w:t xml:space="preserve">:</w:t>
      </w:r>
      <w:r>
        <w:rPr>
          <w:rStyle w:val="AttributeTok"/>
        </w:rPr>
        <w:t xml:space="preserve"> </w:t>
      </w:r>
      <w:r>
        <w:rPr>
          <w:rStyle w:val="StringTok"/>
        </w:rPr>
        <w:t xml:space="preserve">"gaslink-03"</w:t>
      </w:r>
      <w:r>
        <w:br/>
      </w:r>
      <w:r>
        <w:rPr>
          <w:rStyle w:val="FunctionTok"/>
        </w:rPr>
        <w:t xml:space="preserve">target_word_count</w:t>
      </w:r>
      <w:r>
        <w:rPr>
          <w:rStyle w:val="KeywordTok"/>
        </w:rPr>
        <w:t xml:space="preserve">:</w:t>
      </w:r>
      <w:r>
        <w:rPr>
          <w:rStyle w:val="AttributeTok"/>
        </w:rPr>
        <w:t xml:space="preserve"> </w:t>
      </w:r>
      <w:r>
        <w:rPr>
          <w:rStyle w:val="DecValTok"/>
        </w:rPr>
        <w:t xml:space="preserve">1550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word_count</w:t>
      </w:r>
      <w:r>
        <w:rPr>
          <w:rStyle w:val="KeywordTok"/>
        </w:rPr>
        <w:t xml:space="preserve">:</w:t>
      </w:r>
      <w:r>
        <w:rPr>
          <w:rStyle w:val="AttributeTok"/>
        </w:rPr>
        <w:t xml:space="preserve"> </w:t>
      </w:r>
      <w:r>
        <w:rPr>
          <w:rStyle w:val="DecValTok"/>
        </w:rPr>
        <w:t xml:space="preserve">1579</w:t>
      </w:r>
    </w:p>
    <w:p>
      <w:r>
        <w:pict>
          <v:rect style="width:0;height:1.5pt" o:hralign="center" o:hrstd="t" o:hr="t"/>
        </w:pict>
      </w:r>
    </w:p>
    <w:bookmarkEnd w:id="16"/>
    <w:bookmarkStart w:id="34" w:name="Xecdcec97fe8f7fb5d07ef8c8d555f1a25417676"/>
    <w:p>
      <w:pPr>
        <w:pStyle w:val="Heading1"/>
      </w:pPr>
      <w:r>
        <w:t xml:space="preserve">Gaslink &amp; Dekarbonisasi: Turunkan Emisi Scope 1 Industri</w:t>
      </w:r>
    </w:p>
    <w:p>
      <w:pPr>
        <w:pStyle w:val="FirstParagraph"/>
      </w:pPr>
      <w:r>
        <w:t xml:space="preserve">Pertanyaan soal jejak karbon kini muncul di tempat yang dulu tak menyentuhnya: kolom syarat tender, formulir pembiayaan bank, dan audit rantai pasok pembeli global. Bagi banyak kepala pabrik, tekanan ini membingungkan karena solusi yang paling ramai dibicarakan (panel surya, hidrogen) mahal dan lama. Padahal ada langkah yang lebih dekat:</w:t>
      </w:r>
      <w:r>
        <w:t xml:space="preserve"> </w:t>
      </w:r>
      <w:r>
        <w:rPr>
          <w:i/>
          <w:iCs/>
        </w:rPr>
        <w:t xml:space="preserve">fuel switching</w:t>
      </w:r>
      <w:r>
        <w:t xml:space="preserve"> </w:t>
      </w:r>
      <w:r>
        <w:t xml:space="preserve">dari solar atau LPG ke gas bumi lewat layanan seperti</w:t>
      </w:r>
      <w:r>
        <w:t xml:space="preserve"> </w:t>
      </w:r>
      <w:hyperlink r:id="rId17">
        <w:r>
          <w:rPr>
            <w:rStyle w:val="Hyperlink"/>
          </w:rPr>
          <w:t xml:space="preserve">Gaslink</w:t>
        </w:r>
      </w:hyperlink>
      <w:r>
        <w:t xml:space="preserve">. Artikel ini menjelaskan berapa emisi Scope 1 yang bisa turun, cara menghitungnya untuk pelaporan, dan konteks kebijakan di baliknya, tanpa janji yang tidak realistis.</w:t>
      </w:r>
    </w:p>
    <w:p>
      <w:pPr>
        <w:pStyle w:val="BlockText"/>
      </w:pPr>
      <w:r>
        <w:rPr>
          <w:b/>
          <w:bCs/>
        </w:rPr>
        <w:t xml:space="preserve">Ringkasnya:</w:t>
      </w:r>
      <w:r>
        <w:t xml:space="preserve"> </w:t>
      </w:r>
      <w:r>
        <w:rPr>
          <w:i/>
          <w:iCs/>
        </w:rPr>
        <w:t xml:space="preserve">Fuel switching</w:t>
      </w:r>
      <w:r>
        <w:t xml:space="preserve"> </w:t>
      </w:r>
      <w:r>
        <w:t xml:space="preserve">ke gas bumi adalah penggantian bahan bakar solar atau LPG dengan gas bumi (</w:t>
      </w:r>
      <w:r>
        <w:rPr>
          <w:i/>
          <w:iCs/>
        </w:rPr>
        <w:t xml:space="preserve">Compressed Natural Gas</w:t>
      </w:r>
      <w:r>
        <w:t xml:space="preserve">/CNG) untuk menurunkan emisi CO2 langsung (Scope 1) suatu fasilitas. Berdasarkan faktor emisi US EIA, gas bumi menghasilkan emisi pembakaran sekitar 29% lebih rendah dari solar dan 16% lebih rendah dari LPG per satuan energi (MMBtu) yang sama.</w:t>
      </w:r>
    </w:p>
    <w:p>
      <w:pPr>
        <w:pStyle w:val="FirstParagraph"/>
      </w:pPr>
      <w:r>
        <w:rPr>
          <w:i/>
          <w:iCs/>
        </w:rPr>
        <w:t xml:space="preserve">[Image 01: Bar chart perbandingan faktor emisi CO2 tiga bahan bakar — gas bumi 52,91; LPG 62,88; solar 74,14 (kg CO2/MMBtu) — dengan anotasi persentase selisih (gas bumi ~29% lebih rendah dari solar, ~16% dari LPG), gaya korporat biru-hijau, sumber</w:t>
      </w:r>
      <w:r>
        <w:rPr>
          <w:i/>
          <w:iCs/>
        </w:rPr>
        <w:t xml:space="preserve"> </w:t>
      </w:r>
      <w:r>
        <w:rPr>
          <w:i/>
          <w:iCs/>
        </w:rPr>
        <w:t xml:space="preserve">“US EIA”</w:t>
      </w:r>
      <w:r>
        <w:rPr>
          <w:i/>
          <w:iCs/>
        </w:rPr>
        <w:t xml:space="preserve"> </w:t>
      </w:r>
      <w:r>
        <w:rPr>
          <w:i/>
          <w:iCs/>
        </w:rPr>
        <w:t xml:space="preserve">di caption, teks Bahasa Indonesia]</w:t>
      </w:r>
    </w:p>
    <w:bookmarkStart w:id="18" w:name="X289380373157826b8f2c7f3efc4fa05d3d00e0f"/>
    <w:p>
      <w:pPr>
        <w:pStyle w:val="Heading2"/>
      </w:pPr>
      <w:r>
        <w:t xml:space="preserve">Kenapa Fuel Switching ke Gas Bumi Jadi Langkah Dekarbonisasi Tercepat bagi Industri?</w:t>
      </w:r>
    </w:p>
    <w:p>
      <w:pPr>
        <w:pStyle w:val="FirstParagraph"/>
      </w:pPr>
      <w:r>
        <w:rPr>
          <w:i/>
          <w:iCs/>
        </w:rPr>
        <w:t xml:space="preserve">Fuel switching</w:t>
      </w:r>
      <w:r>
        <w:t xml:space="preserve"> </w:t>
      </w:r>
      <w:r>
        <w:t xml:space="preserve">ke gas bumi termasuk langkah dekarbonisasi tercepat karena hanya mengganti bahan bakar, bukan merombak seluruh proses produksi. Emisi yang dipangkas adalah Scope 1, yaitu emisi langsung dari boiler, tungku, atau genset di lokasi sendiri, sehingga hasilnya terukur dan langsung terlihat di neraca emisi.</w:t>
      </w:r>
    </w:p>
    <w:p>
      <w:pPr>
        <w:pStyle w:val="BodyText"/>
      </w:pPr>
      <w:r>
        <w:t xml:space="preserve">Klasifikasi ini mengikuti</w:t>
      </w:r>
      <w:r>
        <w:t xml:space="preserve"> </w:t>
      </w:r>
      <w:r>
        <w:rPr>
          <w:i/>
          <w:iCs/>
        </w:rPr>
        <w:t xml:space="preserve">Greenhouse Gas (GHG) Protocol</w:t>
      </w:r>
      <w:r>
        <w:t xml:space="preserve"> </w:t>
      </w:r>
      <w:r>
        <w:t xml:space="preserve">dari WRI dan WBCSD, yang membagi emisi perusahaan menjadi Scope 1 (langsung), Scope 2 (energi yang dibeli), dan Scope 3 (rantai nilai). Pembakaran bahan bakar di pabrik masuk Scope 1 murni.</w:t>
      </w:r>
    </w:p>
    <w:p>
      <w:pPr>
        <w:pStyle w:val="BodyText"/>
      </w:pPr>
      <w:r>
        <w:t xml:space="preserve">Keunggulan praktisnya jelas: mengganti bahan bakar tidak menuntut penghentian lini produksi berbulan-bulan seperti elektrifikasi total. Gas bumi berperan sebagai</w:t>
      </w:r>
      <w:r>
        <w:t xml:space="preserve"> </w:t>
      </w:r>
      <w:r>
        <w:rPr>
          <w:i/>
          <w:iCs/>
        </w:rPr>
        <w:t xml:space="preserve">energi transisi</w:t>
      </w:r>
      <w:r>
        <w:t xml:space="preserve"> </w:t>
      </w:r>
      <w:r>
        <w:t xml:space="preserve">(</w:t>
      </w:r>
      <w:r>
        <w:rPr>
          <w:i/>
          <w:iCs/>
        </w:rPr>
        <w:t xml:space="preserve">bridge fuel</w:t>
      </w:r>
      <w:r>
        <w:t xml:space="preserve">), jembatan lebih bersih menuju target jangka panjang, bukan tujuan akhir.</w:t>
      </w:r>
    </w:p>
    <w:bookmarkEnd w:id="18"/>
    <w:bookmarkStart w:id="19" w:name="X9052aa9367a2a6a132b49a89a8aefb8825ecade"/>
    <w:p>
      <w:pPr>
        <w:pStyle w:val="Heading2"/>
      </w:pPr>
      <w:r>
        <w:t xml:space="preserve">Seberapa Banyak Emisi Turun? Faktor Emisi Solar vs LPG vs Gas Bumi</w:t>
      </w:r>
    </w:p>
    <w:p>
      <w:pPr>
        <w:pStyle w:val="FirstParagraph"/>
      </w:pPr>
      <w:r>
        <w:t xml:space="preserve">Beralih dari solar ke gas bumi menurunkan emisi CO2 pembakaran sekitar 28,6%, dan dari LPG ke gas bumi sekitar 15,9%, untuk setiap unit energi (MMBtu) yang sama. Angka ini dihitung dari selisih faktor emisi pembakaran resmi US Energy Information Administration (EIA).</w:t>
      </w:r>
    </w:p>
    <w:p>
      <w:pPr>
        <w:pStyle w:val="BodyText"/>
      </w:pPr>
      <w:r>
        <w:t xml:space="preserve">Faktor emisinya sebagai berikut (EIA, data dasar 2022, dirilis September 2024):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Bahan bakar</w:t>
            </w:r>
          </w:p>
        </w:tc>
        <w:tc>
          <w:tcPr/>
          <w:p>
            <w:pPr>
              <w:pStyle w:val="Compact"/>
            </w:pPr>
            <w:r>
              <w:t xml:space="preserve">Faktor emisi CO2 (kg/MMBtu)</w:t>
            </w:r>
          </w:p>
        </w:tc>
        <w:tc>
          <w:tcPr/>
          <w:p>
            <w:pPr>
              <w:pStyle w:val="Compact"/>
            </w:pPr>
            <w:r>
              <w:t xml:space="preserve">Selisih vs gas bumi</w:t>
            </w:r>
          </w:p>
        </w:tc>
      </w:tr>
      <w:tr>
        <w:tc>
          <w:tcPr/>
          <w:p>
            <w:pPr>
              <w:pStyle w:val="Compact"/>
            </w:pPr>
            <w:r>
              <w:t xml:space="preserve">Gas bumi (</w:t>
            </w:r>
            <w:r>
              <w:rPr>
                <w:i/>
                <w:iCs/>
              </w:rPr>
              <w:t xml:space="preserve">natural gas</w:t>
            </w:r>
            <w:r>
              <w:t xml:space="preserve">)</w:t>
            </w:r>
          </w:p>
        </w:tc>
        <w:tc>
          <w:tcPr/>
          <w:p>
            <w:pPr>
              <w:pStyle w:val="Compact"/>
            </w:pPr>
            <w:r>
              <w:t xml:space="preserve">52,91</w:t>
            </w:r>
          </w:p>
        </w:tc>
        <w:tc>
          <w:tcPr/>
          <w:p>
            <w:pPr>
              <w:pStyle w:val="Compact"/>
            </w:pPr>
            <w:r>
              <w:t xml:space="preserve">— (baseline)</w:t>
            </w:r>
          </w:p>
        </w:tc>
      </w:tr>
      <w:tr>
        <w:tc>
          <w:tcPr/>
          <w:p>
            <w:pPr>
              <w:pStyle w:val="Compact"/>
            </w:pPr>
            <w:r>
              <w:t xml:space="preserve">LPG (</w:t>
            </w:r>
            <w:r>
              <w:rPr>
                <w:i/>
                <w:iCs/>
              </w:rPr>
              <w:t xml:space="preserve">propane</w:t>
            </w:r>
            <w:r>
              <w:t xml:space="preserve">)</w:t>
            </w:r>
          </w:p>
        </w:tc>
        <w:tc>
          <w:tcPr/>
          <w:p>
            <w:pPr>
              <w:pStyle w:val="Compact"/>
            </w:pPr>
            <w:r>
              <w:t xml:space="preserve">62,88</w:t>
            </w:r>
          </w:p>
        </w:tc>
        <w:tc>
          <w:tcPr/>
          <w:p>
            <w:pPr>
              <w:pStyle w:val="Compact"/>
            </w:pPr>
            <w:r>
              <w:t xml:space="preserve">gas bumi ~15,9% lebih rendah</w:t>
            </w:r>
          </w:p>
        </w:tc>
      </w:tr>
      <w:tr>
        <w:tc>
          <w:tcPr/>
          <w:p>
            <w:pPr>
              <w:pStyle w:val="Compact"/>
            </w:pPr>
            <w:r>
              <w:t xml:space="preserve">Solar (</w:t>
            </w:r>
            <w:r>
              <w:rPr>
                <w:i/>
                <w:iCs/>
              </w:rPr>
              <w:t xml:space="preserve">distillate fuel oil</w:t>
            </w:r>
            <w:r>
              <w:t xml:space="preserve">)</w:t>
            </w:r>
          </w:p>
        </w:tc>
        <w:tc>
          <w:tcPr/>
          <w:p>
            <w:pPr>
              <w:pStyle w:val="Compact"/>
            </w:pPr>
            <w:r>
              <w:t xml:space="preserve">74,14</w:t>
            </w:r>
          </w:p>
        </w:tc>
        <w:tc>
          <w:tcPr/>
          <w:p>
            <w:pPr>
              <w:pStyle w:val="Compact"/>
            </w:pPr>
            <w:r>
              <w:t xml:space="preserve">gas bumi ~28,6% lebih rendah</w:t>
            </w:r>
          </w:p>
        </w:tc>
      </w:tr>
    </w:tbl>
    <w:p>
      <w:pPr>
        <w:pStyle w:val="BodyText"/>
      </w:pPr>
      <w:r>
        <w:t xml:space="preserve">Satu hal yang sering disalahpahami: angka ini adalah emisi pembakaran langsung (Scope 1), bukan perhitungan siklus hidup penuh. Emisi dari ekstraksi dan pengangkutan gas belum dihitung di sini, dan hasil aktual bergantung pada efisiensi peralatan, jadi perlakukan persentase di atas sebagai acuan berbasis data EIA, bukan janji pasti.</w:t>
      </w:r>
    </w:p>
    <w:bookmarkEnd w:id="19"/>
    <w:bookmarkStart w:id="20" w:name="X224037e55cd85c2e2d7bb07decec65009e84c1a"/>
    <w:p>
      <w:pPr>
        <w:pStyle w:val="Heading2"/>
      </w:pPr>
      <w:r>
        <w:t xml:space="preserve">Cara Sederhana Menghitung Pengurangan Emisi Scope 1 Anda</w:t>
      </w:r>
    </w:p>
    <w:p>
      <w:pPr>
        <w:pStyle w:val="FirstParagraph"/>
      </w:pPr>
      <w:r>
        <w:t xml:space="preserve">Menghitung pengurangan emisi Scope 1 dari</w:t>
      </w:r>
      <w:r>
        <w:t xml:space="preserve"> </w:t>
      </w:r>
      <w:r>
        <w:rPr>
          <w:i/>
          <w:iCs/>
        </w:rPr>
        <w:t xml:space="preserve">fuel switching</w:t>
      </w:r>
      <w:r>
        <w:t xml:space="preserve"> </w:t>
      </w:r>
      <w:r>
        <w:t xml:space="preserve">butuh tiga langkah: konversi konsumsi bahan bakar lama ke satuan energi (MMBtu), kalikan dengan faktor emisi masing-masing bahan bakar, lalu ambil selisihnya. Hasilnya estimasi pengurangan emisi tahunan yang bisa langsung dipakai untuk pelaporan.</w:t>
      </w:r>
    </w:p>
    <w:p>
      <w:pPr>
        <w:pStyle w:val="Compact"/>
        <w:numPr>
          <w:ilvl w:val="0"/>
          <w:numId w:val="1001"/>
        </w:numPr>
      </w:pPr>
      <w:r>
        <w:rPr>
          <w:b/>
          <w:bCs/>
        </w:rPr>
        <w:t xml:space="preserve">Konversi konsumsi lama ke energi.</w:t>
      </w:r>
      <w:r>
        <w:t xml:space="preserve"> </w:t>
      </w:r>
      <w:r>
        <w:t xml:space="preserve">Ubah pemakaian solar atau LPG tahunan menjadi MMBtu memakai nilai kalor bahan bakar tersebut.</w:t>
      </w:r>
    </w:p>
    <w:p>
      <w:pPr>
        <w:pStyle w:val="Compact"/>
        <w:numPr>
          <w:ilvl w:val="0"/>
          <w:numId w:val="1001"/>
        </w:numPr>
      </w:pPr>
      <w:r>
        <w:rPr>
          <w:b/>
          <w:bCs/>
        </w:rPr>
        <w:t xml:space="preserve">Kalikan dengan faktor emisi.</w:t>
      </w:r>
      <w:r>
        <w:t xml:space="preserve"> </w:t>
      </w:r>
      <w:r>
        <w:t xml:space="preserve">Kalikan total MMBtu dengan faktor emisi bahan bakar lama (74,14 untuk solar) dan faktor gas bumi (52,91), memakai koefisien EIA.</w:t>
      </w:r>
    </w:p>
    <w:p>
      <w:pPr>
        <w:pStyle w:val="Compact"/>
        <w:numPr>
          <w:ilvl w:val="0"/>
          <w:numId w:val="1001"/>
        </w:numPr>
      </w:pPr>
      <w:r>
        <w:rPr>
          <w:b/>
          <w:bCs/>
        </w:rPr>
        <w:t xml:space="preserve">Ambil selisihnya.</w:t>
      </w:r>
      <w:r>
        <w:t xml:space="preserve"> </w:t>
      </w:r>
      <w:r>
        <w:t xml:space="preserve">Selisih kedua angka itu adalah estimasi pengurangan emisi Scope 1 tahunan Anda dalam kg CO2.</w:t>
      </w:r>
    </w:p>
    <w:p>
      <w:pPr>
        <w:pStyle w:val="FirstParagraph"/>
      </w:pPr>
      <w:r>
        <w:t xml:space="preserve">Ilustrasi kasarnya: fasilitas dengan konsumsi energi setara 10.000 MMBtu/tahun dari solar menghasilkan sekitar 741 ton CO2; dengan gas bumi turun ke sekitar 529 ton, selisih sekitar 212 ton per tahun. Angka ini ilustratif, bukan hasil audit; untuk pelaporan formal, pakai data konsumsi dan metodologi GHG Protocol sendiri.</w:t>
      </w:r>
    </w:p>
    <w:p>
      <w:pPr>
        <w:pStyle w:val="BodyText"/>
      </w:pPr>
      <w:r>
        <w:rPr>
          <w:i/>
          <w:iCs/>
        </w:rPr>
        <w:t xml:space="preserve">[Image 02: Diagram alur tiga langkah menghitung pengurangan emisi Scope 1 — kotak bernomor (1) konsumsi bahan bakar ke MMBtu, (2) kalikan faktor emisi lama vs gas bumi, (3) selisih = pengurangan Scope 1 tahunan, gaya flowchart bersih hijau-biru, teks Bahasa Indonesia]</w:t>
      </w:r>
    </w:p>
    <w:bookmarkEnd w:id="20"/>
    <w:bookmarkStart w:id="21" w:name="X20c607b376d1020ec1074328d4e3dd8a74805c2"/>
    <w:p>
      <w:pPr>
        <w:pStyle w:val="Heading2"/>
      </w:pPr>
      <w:r>
        <w:t xml:space="preserve">Kenapa Emisi Kini Jadi Biaya dan Syarat: NEK, Pajak Karbon, dan Standar Industri Hijau</w:t>
      </w:r>
    </w:p>
    <w:p>
      <w:pPr>
        <w:pStyle w:val="FirstParagraph"/>
      </w:pPr>
      <w:r>
        <w:t xml:space="preserve">Emisi berubah dari isu reputasi menjadi variabel komersial karena tiga hal: target iklim nasional yang mengikat, kerangka harga karbon yang sedang dibangun, dan standar industri hijau. Ketiganya membuat data emisi mulai diminta dalam pembiayaan, tender, dan sertifikasi, bukan lagi sekadar laporan sukarela.</w:t>
      </w:r>
    </w:p>
    <w:p>
      <w:pPr>
        <w:pStyle w:val="BodyText"/>
      </w:pPr>
      <w:r>
        <w:t xml:space="preserve">Indonesia menaikkan target</w:t>
      </w:r>
      <w:r>
        <w:t xml:space="preserve"> </w:t>
      </w:r>
      <w:r>
        <w:rPr>
          <w:i/>
          <w:iCs/>
        </w:rPr>
        <w:t xml:space="preserve">Enhanced NDC</w:t>
      </w:r>
      <w:r>
        <w:t xml:space="preserve"> </w:t>
      </w:r>
      <w:r>
        <w:t xml:space="preserve">(E-NDC) penurunan emisi 2030 dari 29% (835 juta ton CO2) menjadi 32% (912 juta ton CO2), dengan sektor energi memikul target tersendiri 358 juta ton CO2 (Kementerian ESDM, Desember 2023). Di atasnya ada komitmen</w:t>
      </w:r>
      <w:r>
        <w:t xml:space="preserve"> </w:t>
      </w:r>
      <w:r>
        <w:rPr>
          <w:i/>
          <w:iCs/>
        </w:rPr>
        <w:t xml:space="preserve">Net Zero Emission</w:t>
      </w:r>
      <w:r>
        <w:t xml:space="preserve"> </w:t>
      </w:r>
      <w:r>
        <w:t xml:space="preserve">(NZE) 2060 lewat dokumen LTS-LCCR yang diserahkan ke UNFCCC.</w:t>
      </w:r>
    </w:p>
    <w:p>
      <w:pPr>
        <w:pStyle w:val="BodyText"/>
      </w:pPr>
      <w:r>
        <w:t xml:space="preserve">Soal harga karbon, ini yang paling sering salah kaprah. Nilai Ekonomi Karbon diatur lewat Peraturan Presiden No. 98 Tahun 2021, dan pajak karbon diatur di UU No. 7/2021 (UU HPP) dengan tarif minimum Rp30 per kg CO2e. Namun pajak karbon</w:t>
      </w:r>
      <w:r>
        <w:t xml:space="preserve"> </w:t>
      </w:r>
      <w:r>
        <w:rPr>
          <w:b/>
          <w:bCs/>
        </w:rPr>
        <w:t xml:space="preserve">belum berlaku efektif</w:t>
      </w:r>
      <w:r>
        <w:t xml:space="preserve"> </w:t>
      </w:r>
      <w:r>
        <w:t xml:space="preserve">hingga pertengahan 2026, sudah dua kali ditunda, dan sasaran awalnya hanya PLTU batu bara, bukan seluruh industri pengguna bahan bakar fosil. Jadi keliru jika ada yang bilang pabrik pengguna solar hari ini otomatis dikenai pajak karbon; ini arah kebijakan yang sedang berjalan, bukan pungutan aktif.</w:t>
      </w:r>
    </w:p>
    <w:p>
      <w:pPr>
        <w:pStyle w:val="BodyText"/>
      </w:pPr>
      <w:r>
        <w:t xml:space="preserve">Standar Industri Hijau (SIH) dari Kementerian Perindustrian sudah terbit untuk 17 jenis industri dan menilai banyak parameter, termasuk penggunaan energi. Perlu ditegaskan: SIH tidak mewajibkan gas bumi atau bahan bakar tertentu, tetapi efisiensi energi dan emisi menjadi salah satu kriteria yang bisa dibantu bahan bakar rendah emisi. Sebagai gambaran skalanya, emisi GRK sektor industri pada 2022 dilaporkan 238,1 juta ton CO2e oleh Kementerian Perindustrian, sementara kajian IESR memperkirakan angkanya melampaui 400 juta ton CO2e, perbedaan yang berasal dari metodologi dan cakupan yang tidak sama.</w:t>
      </w:r>
    </w:p>
    <w:bookmarkEnd w:id="21"/>
    <w:bookmarkStart w:id="22" w:name="Xe5eb78853f7a544e82e1e0925986a450d9b6253"/>
    <w:p>
      <w:pPr>
        <w:pStyle w:val="Heading2"/>
      </w:pPr>
      <w:r>
        <w:t xml:space="preserve">Batas Kejujuran: Gas Bumi Menurunkan Emisi, Tapi Bukan Net Zero</w:t>
      </w:r>
    </w:p>
    <w:p>
      <w:pPr>
        <w:pStyle w:val="FirstParagraph"/>
      </w:pPr>
      <w:r>
        <w:t xml:space="preserve">Ini bagian yang jarang ditulis penyedia energi, padahal penting:</w:t>
      </w:r>
      <w:r>
        <w:t xml:space="preserve"> </w:t>
      </w:r>
      <w:r>
        <w:rPr>
          <w:i/>
          <w:iCs/>
        </w:rPr>
        <w:t xml:space="preserve">fuel switching</w:t>
      </w:r>
      <w:r>
        <w:t xml:space="preserve"> </w:t>
      </w:r>
      <w:r>
        <w:t xml:space="preserve">ke gas bumi menurunkan emisi Scope 1 pembakaran, tetapi tidak membuat fasilitas Anda nol emisi. Gas bumi tetap bahan bakar fosil, dan ada emisi yang tidak tersentuh oleh konversi ini.</w:t>
      </w:r>
    </w:p>
    <w:p>
      <w:pPr>
        <w:pStyle w:val="BodyText"/>
      </w:pPr>
      <w:r>
        <w:t xml:space="preserve">Ada dua batasnya. Pertama, faktor emisi EIA hanya menghitung titik pembakaran; bila ditambah emisi metana (CH4) dari ekstraksi, pemrosesan, dan pengangkutan, keunggulan gas bisa mengecil. Menurut IEA, gas bumi rata-rata menghasilkan emisi</w:t>
      </w:r>
      <w:r>
        <w:t xml:space="preserve"> </w:t>
      </w:r>
      <w:r>
        <w:rPr>
          <w:i/>
          <w:iCs/>
        </w:rPr>
        <w:t xml:space="preserve">lifecycle</w:t>
      </w:r>
      <w:r>
        <w:t xml:space="preserve"> </w:t>
      </w:r>
      <w:r>
        <w:t xml:space="preserve">sekitar 35% lebih rendah dari batu bara, tapi keunggulan itu melemah bila memakai potensi pemanasan global (</w:t>
      </w:r>
      <w:r>
        <w:rPr>
          <w:i/>
          <w:iCs/>
        </w:rPr>
        <w:t xml:space="preserve">GWP</w:t>
      </w:r>
      <w:r>
        <w:t xml:space="preserve">) horizon 20 tahun untuk metana dan bila kebocoran rantai pasok tinggi.</w:t>
      </w:r>
    </w:p>
    <w:p>
      <w:pPr>
        <w:pStyle w:val="BodyText"/>
      </w:pPr>
      <w:r>
        <w:t xml:space="preserve">Kedua,</w:t>
      </w:r>
      <w:r>
        <w:t xml:space="preserve"> </w:t>
      </w:r>
      <w:r>
        <w:rPr>
          <w:i/>
          <w:iCs/>
        </w:rPr>
        <w:t xml:space="preserve">fuel switching</w:t>
      </w:r>
      <w:r>
        <w:t xml:space="preserve"> </w:t>
      </w:r>
      <w:r>
        <w:t xml:space="preserve">hanya menyentuh Scope 1; Scope 2 (listrik PLN) dan Scope 3 (rantai pasok) butuh strategi lain, seperti diperjelas tabel berikut: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Scope</w:t>
            </w:r>
          </w:p>
        </w:tc>
        <w:tc>
          <w:tcPr/>
          <w:p>
            <w:pPr>
              <w:pStyle w:val="Compact"/>
            </w:pPr>
            <w:r>
              <w:t xml:space="preserve">Cakupan</w:t>
            </w:r>
          </w:p>
        </w:tc>
        <w:tc>
          <w:tcPr/>
          <w:p>
            <w:pPr>
              <w:pStyle w:val="Compact"/>
            </w:pPr>
            <w:r>
              <w:t xml:space="preserve">Dipengaruhi fuel switching?</w:t>
            </w:r>
          </w:p>
        </w:tc>
      </w:tr>
      <w:tr>
        <w:tc>
          <w:tcPr/>
          <w:p>
            <w:pPr>
              <w:pStyle w:val="Compact"/>
            </w:pPr>
            <w:r>
              <w:t xml:space="preserve">Scope 1</w:t>
            </w:r>
          </w:p>
        </w:tc>
        <w:tc>
          <w:tcPr/>
          <w:p>
            <w:pPr>
              <w:pStyle w:val="Compact"/>
            </w:pPr>
            <w:r>
              <w:t xml:space="preserve">Emisi langsung (boiler, tungku, genset)</w:t>
            </w:r>
          </w:p>
        </w:tc>
        <w:tc>
          <w:tcPr/>
          <w:p>
            <w:pPr>
              <w:pStyle w:val="Compact"/>
            </w:pPr>
            <w:r>
              <w:t xml:space="preserve">Ya, langsung turun</w:t>
            </w:r>
          </w:p>
        </w:tc>
      </w:tr>
      <w:tr>
        <w:tc>
          <w:tcPr/>
          <w:p>
            <w:pPr>
              <w:pStyle w:val="Compact"/>
            </w:pPr>
            <w:r>
              <w:t xml:space="preserve">Scope 2</w:t>
            </w:r>
          </w:p>
        </w:tc>
        <w:tc>
          <w:tcPr/>
          <w:p>
            <w:pPr>
              <w:pStyle w:val="Compact"/>
            </w:pPr>
            <w:r>
              <w:t xml:space="preserve">Energi yang dibeli (listrik, uap)</w:t>
            </w:r>
          </w:p>
        </w:tc>
        <w:tc>
          <w:tcPr/>
          <w:p>
            <w:pPr>
              <w:pStyle w:val="Compact"/>
            </w:pPr>
            <w:r>
              <w:t xml:space="preserve">Tidak, perlu strategi lain</w:t>
            </w:r>
          </w:p>
        </w:tc>
      </w:tr>
      <w:tr>
        <w:tc>
          <w:tcPr/>
          <w:p>
            <w:pPr>
              <w:pStyle w:val="Compact"/>
            </w:pPr>
            <w:r>
              <w:t xml:space="preserve">Scope 3</w:t>
            </w:r>
          </w:p>
        </w:tc>
        <w:tc>
          <w:tcPr/>
          <w:p>
            <w:pPr>
              <w:pStyle w:val="Compact"/>
            </w:pPr>
            <w:r>
              <w:t xml:space="preserve">Rantai nilai hulu-hilir</w:t>
            </w:r>
          </w:p>
        </w:tc>
        <w:tc>
          <w:tcPr/>
          <w:p>
            <w:pPr>
              <w:pStyle w:val="Compact"/>
            </w:pPr>
            <w:r>
              <w:t xml:space="preserve">Tidak, perlu strategi lain</w:t>
            </w:r>
          </w:p>
        </w:tc>
      </w:tr>
    </w:tbl>
    <w:p>
      <w:pPr>
        <w:pStyle w:val="BodyText"/>
      </w:pPr>
      <w:r>
        <w:t xml:space="preserve">Posisi yang jujur: gas bumi adalah langkah transisi yang terukur, bukan garis akhir menuju net zero.</w:t>
      </w:r>
    </w:p>
    <w:p>
      <w:pPr>
        <w:pStyle w:val="BodyText"/>
      </w:pPr>
      <w:r>
        <w:rPr>
          <w:i/>
          <w:iCs/>
        </w:rPr>
        <w:t xml:space="preserve">[Image 03: Diagram tiga lingkaran bertingkat Scope 1, 2, dan 3 — Scope 1 di-highlight warna hijau sebagai area yang langsung terdampak fuel switching, Scope 2 dan 3 diberi warna abu untuk menandai area yang tidak terjangkau, teks Bahasa Indonesia]</w:t>
      </w:r>
    </w:p>
    <w:bookmarkEnd w:id="22"/>
    <w:bookmarkStart w:id="30" w:name="faq-pertanyaan-yang-sering-diajukan"/>
    <w:p>
      <w:pPr>
        <w:pStyle w:val="Heading2"/>
      </w:pPr>
      <w:r>
        <w:t xml:space="preserve">FAQ (Pertanyaan yang Sering Diajukan)</w:t>
      </w:r>
    </w:p>
    <w:bookmarkStart w:id="23" w:name="X1f3e3911a382d81c231948f96f2272c2d896496"/>
    <w:p>
      <w:pPr>
        <w:pStyle w:val="Heading3"/>
      </w:pPr>
      <w:r>
        <w:t xml:space="preserve">Berapa besar pengurangan emisi CO2 jika beralih dari solar atau LPG ke gas bumi?</w:t>
      </w:r>
    </w:p>
    <w:p>
      <w:pPr>
        <w:pStyle w:val="FirstParagraph"/>
      </w:pPr>
      <w:r>
        <w:t xml:space="preserve">Berdasarkan faktor emisi pembakaran US EIA, gas bumi menghasilkan sekitar 52,91 kg CO2 per MMBtu, dibanding solar ~74,14 (turun ~29%) dan LPG ~62,88 (turun ~16%). Angka ini emisi pembakaran langsung (Scope 1), bukan siklus hidup penuh, dan bisa bervariasi menurut efisiensi peralatan aktual di lapangan.</w:t>
      </w:r>
    </w:p>
    <w:bookmarkEnd w:id="23"/>
    <w:bookmarkStart w:id="24" w:name="Xd42bf799b425434800cad2eaebf3defed4009f4"/>
    <w:p>
      <w:pPr>
        <w:pStyle w:val="Heading3"/>
      </w:pPr>
      <w:r>
        <w:t xml:space="preserve">Apa itu emisi Scope 1 dan bagaimana menurunkannya?</w:t>
      </w:r>
    </w:p>
    <w:p>
      <w:pPr>
        <w:pStyle w:val="FirstParagraph"/>
      </w:pPr>
      <w:r>
        <w:t xml:space="preserve">Emisi Scope 1 adalah emisi gas rumah kaca langsung dari sumber yang dimiliki perusahaan, seperti pembakaran bahan bakar boiler atau genset di lokasi sendiri, sesuai definisi GHG Protocol (WRI dan WBCSD). Cara menurunkannya antara lain</w:t>
      </w:r>
      <w:r>
        <w:t xml:space="preserve"> </w:t>
      </w:r>
      <w:r>
        <w:rPr>
          <w:i/>
          <w:iCs/>
        </w:rPr>
        <w:t xml:space="preserve">fuel switching</w:t>
      </w:r>
      <w:r>
        <w:t xml:space="preserve"> </w:t>
      </w:r>
      <w:r>
        <w:t xml:space="preserve">ke bahan bakar berfaktor emisi lebih rendah seperti gas bumi, efisiensi pembakaran, atau elektrifikasi proses.</w:t>
      </w:r>
    </w:p>
    <w:bookmarkEnd w:id="24"/>
    <w:bookmarkStart w:id="25" w:name="Xa910842b4c4c753158843b10ff40db56df9a6db"/>
    <w:p>
      <w:pPr>
        <w:pStyle w:val="Heading3"/>
      </w:pPr>
      <w:r>
        <w:t xml:space="preserve">Apakah beralih ke gas bumi membantu memenuhi target ESG dan Net Zero?</w:t>
      </w:r>
    </w:p>
    <w:p>
      <w:pPr>
        <w:pStyle w:val="FirstParagraph"/>
      </w:pPr>
      <w:r>
        <w:t xml:space="preserve">Membantu, tetapi hanya sebagian.</w:t>
      </w:r>
      <w:r>
        <w:t xml:space="preserve"> </w:t>
      </w:r>
      <w:r>
        <w:rPr>
          <w:i/>
          <w:iCs/>
        </w:rPr>
        <w:t xml:space="preserve">Fuel switching</w:t>
      </w:r>
      <w:r>
        <w:t xml:space="preserve"> </w:t>
      </w:r>
      <w:r>
        <w:t xml:space="preserve">menurunkan emisi Scope 1 dan datanya terukur untuk pelaporan ESG. Namun Scope 2 (listrik) dan Scope 3 (rantai pasok) tetap perlu ditangani terpisah, dan gas bumi sendiri masih bahan bakar fosil, bukan solusi nol emisi.</w:t>
      </w:r>
    </w:p>
    <w:bookmarkEnd w:id="25"/>
    <w:bookmarkStart w:id="26" w:name="X74203621e745691781b24cb206cf533d76158af"/>
    <w:p>
      <w:pPr>
        <w:pStyle w:val="Heading3"/>
      </w:pPr>
      <w:r>
        <w:t xml:space="preserve">Apa itu Nilai Ekonomi Karbon dan pajak karbon di Indonesia?</w:t>
      </w:r>
    </w:p>
    <w:p>
      <w:pPr>
        <w:pStyle w:val="FirstParagraph"/>
      </w:pPr>
      <w:r>
        <w:t xml:space="preserve">Nilai Ekonomi Karbon (NEK) diatur dalam Perpres No. 98 Tahun 2021 sebagai mekanisme memberi nilai ekonomi pada emisi untuk mendukung target NDC. Pajak karbon diatur di UU No. 7/2021 (HPP) dengan tarif minimum Rp30 per kg CO2e, awalnya menyasar PLTU batu bara, tetapi sudah ditunda dua kali dan belum berlaku efektif secara luas hingga pertengahan 2026.</w:t>
      </w:r>
    </w:p>
    <w:bookmarkEnd w:id="26"/>
    <w:bookmarkStart w:id="27" w:name="X787fc1ce9aeb97f906e6f50ce912b98ca230f36"/>
    <w:p>
      <w:pPr>
        <w:pStyle w:val="Heading3"/>
      </w:pPr>
      <w:r>
        <w:t xml:space="preserve">Apakah gas bumi termasuk energi bersih atau hanya energi transisi?</w:t>
      </w:r>
    </w:p>
    <w:p>
      <w:pPr>
        <w:pStyle w:val="FirstParagraph"/>
      </w:pPr>
      <w:r>
        <w:t xml:space="preserve">Gas bumi tetap bahan bakar fosil dan menghasilkan CO2 saat dibakar, jadi lebih tepat disebut</w:t>
      </w:r>
      <w:r>
        <w:t xml:space="preserve"> </w:t>
      </w:r>
      <w:r>
        <w:rPr>
          <w:i/>
          <w:iCs/>
        </w:rPr>
        <w:t xml:space="preserve">energi transisi</w:t>
      </w:r>
      <w:r>
        <w:t xml:space="preserve"> </w:t>
      </w:r>
      <w:r>
        <w:t xml:space="preserve">(</w:t>
      </w:r>
      <w:r>
        <w:rPr>
          <w:i/>
          <w:iCs/>
        </w:rPr>
        <w:t xml:space="preserve">bridge fuel</w:t>
      </w:r>
      <w:r>
        <w:t xml:space="preserve">) daripada energi bersih. Menurut IEA, gas bumi rata-rata menghasilkan emisi</w:t>
      </w:r>
      <w:r>
        <w:t xml:space="preserve"> </w:t>
      </w:r>
      <w:r>
        <w:rPr>
          <w:i/>
          <w:iCs/>
        </w:rPr>
        <w:t xml:space="preserve">lifecycle</w:t>
      </w:r>
      <w:r>
        <w:t xml:space="preserve"> </w:t>
      </w:r>
      <w:r>
        <w:t xml:space="preserve">sekitar 35% lebih rendah dari batu bara, tetapi tetap membawa risiko emisi metana dari rantai pasoknya.</w:t>
      </w:r>
    </w:p>
    <w:bookmarkEnd w:id="27"/>
    <w:bookmarkStart w:id="28" w:name="X8d0cb94fbf5cf2851ae15b35352c7901dbbaae7"/>
    <w:p>
      <w:pPr>
        <w:pStyle w:val="Heading3"/>
      </w:pPr>
      <w:r>
        <w:t xml:space="preserve">Apa itu Standar Industri Hijau dan kaitannya dengan bahan bakar?</w:t>
      </w:r>
    </w:p>
    <w:p>
      <w:pPr>
        <w:pStyle w:val="FirstParagraph"/>
      </w:pPr>
      <w:r>
        <w:t xml:space="preserve">Standar Industri Hijau (SIH) disusun Kementerian Perindustrian, mencakup bahan baku, energi, proses produksi, hingga limbah, dan sudah terbit untuk 17 jenis industri. Penggunaan energi menjadi salah satu parameter, sehingga bahan bakar beremisi lebih rendah bisa membantu pemenuhannya, meski SIH tidak secara eksplisit mewajibkan bahan bakar tertentu.</w:t>
      </w:r>
    </w:p>
    <w:bookmarkEnd w:id="28"/>
    <w:bookmarkStart w:id="29" w:name="X7cd672546938ba525b4892b73003dc940d9bcc5"/>
    <w:p>
      <w:pPr>
        <w:pStyle w:val="Heading3"/>
      </w:pPr>
      <w:r>
        <w:t xml:space="preserve">Apakah fuel switching ke gas bumi cukup untuk mencapai net zero?</w:t>
      </w:r>
    </w:p>
    <w:p>
      <w:pPr>
        <w:pStyle w:val="FirstParagraph"/>
      </w:pPr>
      <w:r>
        <w:t xml:space="preserve">Tidak.</w:t>
      </w:r>
      <w:r>
        <w:t xml:space="preserve"> </w:t>
      </w:r>
      <w:r>
        <w:rPr>
          <w:i/>
          <w:iCs/>
        </w:rPr>
        <w:t xml:space="preserve">Fuel switching</w:t>
      </w:r>
      <w:r>
        <w:t xml:space="preserve"> </w:t>
      </w:r>
      <w:r>
        <w:t xml:space="preserve">menurunkan emisi Scope 1 pembakaran, tetapi net zero menuntut penanganan Scope 2, Scope 3, sekaligus pengurangan emisi metana di sepanjang rantai pasok gas. Posisikan</w:t>
      </w:r>
      <w:r>
        <w:t xml:space="preserve"> </w:t>
      </w:r>
      <w:r>
        <w:rPr>
          <w:i/>
          <w:iCs/>
        </w:rPr>
        <w:t xml:space="preserve">fuel switching</w:t>
      </w:r>
      <w:r>
        <w:t xml:space="preserve"> </w:t>
      </w:r>
      <w:r>
        <w:t xml:space="preserve">sebagai langkah transisi yang cepat dan terukur menuju target jangka panjang, bukan solusi akhir.</w:t>
      </w:r>
    </w:p>
    <w:bookmarkEnd w:id="29"/>
    <w:bookmarkEnd w:id="30"/>
    <w:bookmarkStart w:id="33" w:name="kesimpulan"/>
    <w:p>
      <w:pPr>
        <w:pStyle w:val="Heading2"/>
      </w:pPr>
      <w:r>
        <w:t xml:space="preserve">Kesimpulan</w:t>
      </w:r>
    </w:p>
    <w:p>
      <w:pPr>
        <w:pStyle w:val="FirstParagraph"/>
      </w:pPr>
      <w:r>
        <w:t xml:space="preserve">Dekarbonisasi tidak harus menunggu teknologi mahal. Bagi fasilitas yang masih membakar solar atau LPG,</w:t>
      </w:r>
      <w:r>
        <w:t xml:space="preserve"> </w:t>
      </w:r>
      <w:r>
        <w:rPr>
          <w:i/>
          <w:iCs/>
        </w:rPr>
        <w:t xml:space="preserve">fuel switching</w:t>
      </w:r>
      <w:r>
        <w:t xml:space="preserve"> </w:t>
      </w:r>
      <w:r>
        <w:t xml:space="preserve">ke gas bumi adalah langkah tercepat yang bisa diukur hari ini, dengan catatan jujur bahwa ini menurunkan Scope 1, bukan mencapai net zero. PGN Gagas memposisikan gas bumi sebagai energi transisi yang lebih bersih dan hemat dibanding bahan bakar konvensional, sejalan dengan upaya memperkaya bauran energi nasional; layanan Gaslink diposisikan mendukung komitmen keberlanjutan pelanggan tanpa menjanjikan angka yang tidak terbukti. Logika konversi yang sama berlaku di sisi transportasi lewat</w:t>
      </w:r>
      <w:r>
        <w:t xml:space="preserve"> </w:t>
      </w:r>
      <w:hyperlink r:id="rId31">
        <w:r>
          <w:rPr>
            <w:rStyle w:val="Hyperlink"/>
          </w:rPr>
          <w:t xml:space="preserve">Gasku untuk konversi BBM ke BBG</w:t>
        </w:r>
      </w:hyperlink>
      <w:r>
        <w:t xml:space="preserve">, dan bisa ditelusuri lebih jauh dalam konteks</w:t>
      </w:r>
      <w:r>
        <w:t xml:space="preserve"> </w:t>
      </w:r>
      <w:hyperlink r:id="rId32">
        <w:r>
          <w:rPr>
            <w:rStyle w:val="Hyperlink"/>
          </w:rPr>
          <w:t xml:space="preserve">CNG untuk industri di Indonesia</w:t>
        </w:r>
      </w:hyperlink>
      <w:r>
        <w:t xml:space="preserve">.</w:t>
      </w:r>
    </w:p>
    <w:p>
      <w:pPr>
        <w:pStyle w:val="BodyText"/>
      </w:pPr>
      <w:r>
        <w:t xml:space="preserve">Untuk mendiskusikan kesiapan beralih ke gas bumi dan menghitung potensi pengurangan emisi di fasilitas Anda, kunjungi gagas.co.id.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31" Target="https://gagas.co.id/gasku/" TargetMode="External" /><Relationship Type="http://schemas.openxmlformats.org/officeDocument/2006/relationships/hyperlink" Id="rId17" Target="https://gagas.co.id/gaslink/" TargetMode="External" /><Relationship Type="http://schemas.openxmlformats.org/officeDocument/2006/relationships/hyperlink" Id="rId32" Target="https://gagas.co.id/perusahaan-cng-indonesia/" TargetMode="External" /></Relationships>
</file>

<file path=word/_rels/footnotes.xml.rels><?xml version="1.0" encoding="UTF-8"?><Relationships xmlns="http://schemas.openxmlformats.org/package/2006/relationships"><Relationship Type="http://schemas.openxmlformats.org/officeDocument/2006/relationships/hyperlink" Id="rId31" Target="https://gagas.co.id/gasku/" TargetMode="External" /><Relationship Type="http://schemas.openxmlformats.org/officeDocument/2006/relationships/hyperlink" Id="rId17" Target="https://gagas.co.id/gaslink/" TargetMode="External" /><Relationship Type="http://schemas.openxmlformats.org/officeDocument/2006/relationships/hyperlink" Id="rId32" Target="https://gagas.co.id/perusahaan-c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2026-07-08T03:07:37Z</dcterms:created>
  <dcterms:modified xsi:type="dcterms:W3CDTF">2026-07-08T03:07:37Z</dcterms:modified>
</cp:coreProperties>
</file>

<file path=docProps/custom.xml><?xml version="1.0" encoding="utf-8"?>
<Properties xmlns="http://schemas.openxmlformats.org/officeDocument/2006/custom-properties" xmlns:vt="http://schemas.openxmlformats.org/officeDocument/2006/docPropsVTypes"/>
</file>