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"TCO Beralih ke Penyedia CNG: Hitung Biaya Total, Bukan Harga Gas"</w:t>
      </w:r>
      <w:r>
        <w:br/>
      </w:r>
      <w:r>
        <w:rPr>
          <w:rStyle w:val="FunctionTok"/>
        </w:rPr>
        <w:t xml:space="preserve">meta_title</w:t>
      </w:r>
      <w:r>
        <w:rPr>
          <w:rStyle w:val="KeywordTok"/>
        </w:rPr>
        <w:t xml:space="preserve">:</w:t>
      </w:r>
      <w:r>
        <w:rPr>
          <w:rStyle w:val="AttributeTok"/>
        </w:rPr>
        <w:t xml:space="preserve"> </w:t>
      </w:r>
      <w:r>
        <w:rPr>
          <w:rStyle w:val="StringTok"/>
        </w:rPr>
        <w:t xml:space="preserve">"Perusahaan CNG Indonesia: Hitung TCO, Bukan Harga Gas"</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menghitung TCO saat memilih perusahaan CNG Indonesia: lima komponen biaya, capex vs opex, dan taksir payback dengan harga gas industri 2026."</w:t>
      </w:r>
      <w:r>
        <w:br/>
      </w:r>
      <w:r>
        <w:rPr>
          <w:rStyle w:val="FunctionTok"/>
        </w:rPr>
        <w:t xml:space="preserve">slug</w:t>
      </w:r>
      <w:r>
        <w:rPr>
          <w:rStyle w:val="KeywordTok"/>
        </w:rPr>
        <w:t xml:space="preserve">:</w:t>
      </w:r>
      <w:r>
        <w:rPr>
          <w:rStyle w:val="AttributeTok"/>
        </w:rPr>
        <w:t xml:space="preserve"> </w:t>
      </w:r>
      <w:r>
        <w:rPr>
          <w:rStyle w:val="StringTok"/>
        </w:rPr>
        <w:t xml:space="preserve">"tco-penyedia-perusahaan-cng-indonesia"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"TCO / total cost of ownership CNG"</w:t>
      </w:r>
      <w:r>
        <w:br/>
      </w:r>
      <w:r>
        <w:rPr>
          <w:rStyle w:val="AttributeTok"/>
        </w:rPr>
        <w:t xml:space="preserve">  </w:t>
      </w:r>
      <w:r>
        <w:rPr>
          <w:rStyle w:val="KeywordTok"/>
        </w:rPr>
        <w:t xml:space="preserve">-</w:t>
      </w:r>
      <w:r>
        <w:rPr>
          <w:rStyle w:val="AttributeTok"/>
        </w:rPr>
        <w:t xml:space="preserve"> </w:t>
      </w:r>
      <w:r>
        <w:rPr>
          <w:rStyle w:val="StringTok"/>
        </w:rPr>
        <w:t xml:space="preserve">"harga gas industri per MMBTU"</w:t>
      </w:r>
      <w:r>
        <w:br/>
      </w:r>
      <w:r>
        <w:rPr>
          <w:rStyle w:val="AttributeTok"/>
        </w:rPr>
        <w:t xml:space="preserve">  </w:t>
      </w:r>
      <w:r>
        <w:rPr>
          <w:rStyle w:val="KeywordTok"/>
        </w:rPr>
        <w:t xml:space="preserve">-</w:t>
      </w:r>
      <w:r>
        <w:rPr>
          <w:rStyle w:val="AttributeTok"/>
        </w:rPr>
        <w:t xml:space="preserve"> </w:t>
      </w:r>
      <w:r>
        <w:rPr>
          <w:rStyle w:val="StringTok"/>
        </w:rPr>
        <w:t xml:space="preserve">"HGBT (Harga Gas Bumi Tertentu)"</w:t>
      </w:r>
      <w:r>
        <w:br/>
      </w:r>
      <w:r>
        <w:rPr>
          <w:rStyle w:val="AttributeTok"/>
        </w:rPr>
        <w:t xml:space="preserve">  </w:t>
      </w:r>
      <w:r>
        <w:rPr>
          <w:rStyle w:val="KeywordTok"/>
        </w:rPr>
        <w:t xml:space="preserve">-</w:t>
      </w:r>
      <w:r>
        <w:rPr>
          <w:rStyle w:val="AttributeTok"/>
        </w:rPr>
        <w:t xml:space="preserve"> </w:t>
      </w:r>
      <w:r>
        <w:rPr>
          <w:rStyle w:val="StringTok"/>
        </w:rPr>
        <w:t xml:space="preserve">"capex retrofit burner boiler"</w:t>
      </w:r>
      <w:r>
        <w:br/>
      </w:r>
      <w:r>
        <w:rPr>
          <w:rStyle w:val="AttributeTok"/>
        </w:rPr>
        <w:t xml:space="preserve">  </w:t>
      </w:r>
      <w:r>
        <w:rPr>
          <w:rStyle w:val="KeywordTok"/>
        </w:rPr>
        <w:t xml:space="preserve">-</w:t>
      </w:r>
      <w:r>
        <w:rPr>
          <w:rStyle w:val="AttributeTok"/>
        </w:rPr>
        <w:t xml:space="preserve"> </w:t>
      </w:r>
      <w:r>
        <w:rPr>
          <w:rStyle w:val="StringTok"/>
        </w:rPr>
        <w:t xml:space="preserve">"payback period konversi CNG"</w:t>
      </w:r>
      <w:r>
        <w:br/>
      </w:r>
      <w:r>
        <w:rPr>
          <w:rStyle w:val="AttributeTok"/>
        </w:rPr>
        <w:t xml:space="preserve">  </w:t>
      </w:r>
      <w:r>
        <w:rPr>
          <w:rStyle w:val="KeywordTok"/>
        </w:rPr>
        <w:t xml:space="preserve">-</w:t>
      </w:r>
      <w:r>
        <w:rPr>
          <w:rStyle w:val="AttributeTok"/>
        </w:rPr>
        <w:t xml:space="preserve"> </w:t>
      </w:r>
      <w:r>
        <w:rPr>
          <w:rStyle w:val="StringTok"/>
        </w:rPr>
        <w:t xml:space="preserve">"harga solar industri HSD"</w:t>
      </w:r>
      <w:r>
        <w:br/>
      </w:r>
      <w:r>
        <w:rPr>
          <w:rStyle w:val="AttributeTok"/>
        </w:rPr>
        <w:t xml:space="preserve">  </w:t>
      </w:r>
      <w:r>
        <w:rPr>
          <w:rStyle w:val="KeywordTok"/>
        </w:rPr>
        <w:t xml:space="preserve">-</w:t>
      </w:r>
      <w:r>
        <w:rPr>
          <w:rStyle w:val="AttributeTok"/>
        </w:rPr>
        <w:t xml:space="preserve"> </w:t>
      </w:r>
      <w:r>
        <w:rPr>
          <w:rStyle w:val="StringTok"/>
        </w:rPr>
        <w:t xml:space="preserve">"biaya distribusi CNG (GTM)"</w:t>
      </w:r>
      <w:r>
        <w:br/>
      </w:r>
      <w:r>
        <w:rPr>
          <w:rStyle w:val="AttributeTok"/>
        </w:rPr>
        <w:t xml:space="preserve">  </w:t>
      </w:r>
      <w:r>
        <w:rPr>
          <w:rStyle w:val="KeywordTok"/>
        </w:rPr>
        <w:t xml:space="preserve">-</w:t>
      </w:r>
      <w:r>
        <w:rPr>
          <w:rStyle w:val="AttributeTok"/>
        </w:rPr>
        <w:t xml:space="preserve"> </w:t>
      </w:r>
      <w:r>
        <w:rPr>
          <w:rStyle w:val="StringTok"/>
        </w:rPr>
        <w:t xml:space="preserve">"Pressure Reduction Station (PRS)"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CNG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"layanan Gaslink untuk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untuk industri"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"https://www.esdm.go.id/id/media-center/arsip-berita/skema-baru-hgbt-perkuat-daya-saing-industri-dan-efisiensi-anggaran-negara"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"Harga HGBT resmi US$6,5–7/MMBTU untuk 7 sektor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"https://industri.kontan.co.id/news/evaluasi-harga-gas-industri-hgbt-dan-gas-pipa-tetap-lng-turun-ke-us-13-per-mmbtu"</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"Evaluasi harga gas industri Juni 2026: LNG non-HGBT turun ke US$13/MMBTU"</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date_modified</w:t>
      </w:r>
      <w:r>
        <w:rPr>
          <w:rStyle w:val="KeywordTok"/>
        </w:rPr>
        <w:t xml:space="preserve">:</w:t>
      </w:r>
      <w:r>
        <w:rPr>
          <w:rStyle w:val="AttributeTok"/>
        </w:rPr>
        <w:t xml:space="preserve"> </w:t>
      </w:r>
      <w:r>
        <w:rPr>
          <w:rStyle w:val="StringTok"/>
        </w:rPr>
        <w:t xml:space="preserve">"2026-07-08"</w:t>
      </w:r>
      <w:r>
        <w:br/>
      </w:r>
      <w:r>
        <w:rPr>
          <w:rStyle w:val="FunctionTok"/>
        </w:rPr>
        <w:t xml:space="preserve">word_count</w:t>
      </w:r>
      <w:r>
        <w:rPr>
          <w:rStyle w:val="KeywordTok"/>
        </w:rPr>
        <w:t xml:space="preserve">:</w:t>
      </w:r>
      <w:r>
        <w:rPr>
          <w:rStyle w:val="AttributeTok"/>
        </w:rPr>
        <w:t xml:space="preserve"> </w:t>
      </w:r>
      <w:r>
        <w:rPr>
          <w:rStyle w:val="DecValTok"/>
        </w:rPr>
        <w:t xml:space="preserve">1563</w:t>
      </w:r>
    </w:p>
    <w:p>
      <w:r>
        <w:pict>
          <v:rect style="width:0;height:1.5pt" o:hralign="center" o:hrstd="t" o:hr="t"/>
        </w:pict>
      </w:r>
    </w:p>
    <w:bookmarkEnd w:id="16"/>
    <w:bookmarkStart w:id="35" w:name="X14130acc344c6fedd6a67bff5de2e1ff315e28d"/>
    <w:p>
      <w:pPr>
        <w:pStyle w:val="Heading1"/>
      </w:pPr>
      <w:r>
        <w:t xml:space="preserve">TCO Beralih ke Penyedia CNG: Hitung Biaya Total, Bukan Harga Gas</w:t>
      </w:r>
    </w:p>
    <w:p>
      <w:pPr>
        <w:pStyle w:val="FirstParagraph"/>
      </w:pPr>
      <w:r>
        <w:t xml:space="preserve">Tim procurement sering menilai penyedia gas dari satu angka: harga gas per MMBTU. Lalu di tahun pertama, biaya sesungguhnya membengkak karena retrofit burner, penyiapan lahan, dan komponen distribusi tak pernah masuk hitungan. Artikel ini menawarkan kerangka</w:t>
      </w:r>
      <w:r>
        <w:t xml:space="preserve"> </w:t>
      </w:r>
      <w:r>
        <w:rPr>
          <w:i/>
          <w:iCs/>
        </w:rPr>
        <w:t xml:space="preserve">Total Cost of Ownership</w:t>
      </w:r>
      <w:r>
        <w:t xml:space="preserve"> </w:t>
      </w:r>
      <w:r>
        <w:t xml:space="preserve">(TCO) yang jujur untuk menilai perpindahan ke sebuah</w:t>
      </w:r>
      <w:r>
        <w:t xml:space="preserve"> </w:t>
      </w:r>
      <w:hyperlink r:id="rId17">
        <w:r>
          <w:rPr>
            <w:rStyle w:val="Hyperlink"/>
          </w:rPr>
          <w:t xml:space="preserve">perusahaan CNG Indonesia</w:t>
        </w:r>
      </w:hyperlink>
      <w:r>
        <w:t xml:space="preserve">: lima komponen biaya, mana capex dan mana opex, serta cara menaksir</w:t>
      </w:r>
      <w:r>
        <w:t xml:space="preserve"> </w:t>
      </w:r>
      <w:r>
        <w:rPr>
          <w:i/>
          <w:iCs/>
        </w:rPr>
        <w:t xml:space="preserve">payback period</w:t>
      </w:r>
      <w:r>
        <w:t xml:space="preserve"> </w:t>
      </w:r>
      <w:r>
        <w:t xml:space="preserve">memakai harga gas industri 2026 yang nyata. Tujuannya bukan mengejar quote termurah, tapi memahami struktur biaya yang benar sebelum tanda tangan kontrak.</w:t>
      </w:r>
    </w:p>
    <w:p>
      <w:pPr>
        <w:pStyle w:val="BlockText"/>
      </w:pPr>
      <w:r>
        <w:rPr>
          <w:b/>
          <w:bCs/>
        </w:rPr>
        <w:t xml:space="preserve">Ringkas:</w:t>
      </w:r>
      <w:r>
        <w:t xml:space="preserve"> </w:t>
      </w:r>
      <w:r>
        <w:rPr>
          <w:i/>
          <w:iCs/>
        </w:rPr>
        <w:t xml:space="preserve">Total Cost of Ownership</w:t>
      </w:r>
      <w:r>
        <w:t xml:space="preserve"> </w:t>
      </w:r>
      <w:r>
        <w:t xml:space="preserve">(TCO) saat beralih ke penyedia</w:t>
      </w:r>
      <w:r>
        <w:t xml:space="preserve"> </w:t>
      </w:r>
      <w:r>
        <w:rPr>
          <w:i/>
          <w:iCs/>
        </w:rPr>
        <w:t xml:space="preserve">Compressed Natural Gas</w:t>
      </w:r>
      <w:r>
        <w:t xml:space="preserve"> </w:t>
      </w:r>
      <w:r>
        <w:t xml:space="preserve">(CNG) adalah total biaya kepemilikan selama masa pakai solusi energi tersebut — mencakup capex sekali-bayar (retrofit burner, instalasi</w:t>
      </w:r>
      <w:r>
        <w:t xml:space="preserve"> </w:t>
      </w:r>
      <w:r>
        <w:rPr>
          <w:i/>
          <w:iCs/>
        </w:rPr>
        <w:t xml:space="preserve">Pressure Reduction Station</w:t>
      </w:r>
      <w:r>
        <w:t xml:space="preserve">) ditambah opex berulang (harga gas per MMBTU, distribusi via</w:t>
      </w:r>
      <w:r>
        <w:t xml:space="preserve"> </w:t>
      </w:r>
      <w:r>
        <w:rPr>
          <w:i/>
          <w:iCs/>
        </w:rPr>
        <w:t xml:space="preserve">Gas Transportation Module</w:t>
      </w:r>
      <w:r>
        <w:t xml:space="preserve">, operasi). Harga gas per MMBTU hanya satu dari lima komponen biaya.</w:t>
      </w:r>
    </w:p>
    <w:p>
      <w:pPr>
        <w:pStyle w:val="FirstParagraph"/>
      </w:pPr>
      <w:r>
        <w:rPr>
          <w:i/>
          <w:iCs/>
        </w:rPr>
        <w:t xml:space="preserve">[Image 01: Diagram lingkaran</w:t>
      </w:r>
      <w:r>
        <w:rPr>
          <w:i/>
          <w:iCs/>
        </w:rPr>
        <w:t xml:space="preserve"> </w:t>
      </w:r>
      <w:r>
        <w:rPr>
          <w:i/>
          <w:iCs/>
        </w:rPr>
        <w:t xml:space="preserve">“5 Komponen Biaya TCO CNG”</w:t>
      </w:r>
      <w:r>
        <w:rPr>
          <w:i/>
          <w:iCs/>
        </w:rPr>
        <w:t xml:space="preserve"> </w:t>
      </w:r>
      <w:r>
        <w:rPr>
          <w:i/>
          <w:iCs/>
        </w:rPr>
        <w:t xml:space="preserve">dengan lima segmen (harga gas per MMBTU, distribusi/GTM, retrofit capex, lahan/PRS, operasi); warna membedakan capex biru tua dan opex hijau; gaya korporat, teks Bahasa Indonesia.]</w:t>
      </w:r>
    </w:p>
    <w:bookmarkStart w:id="18" w:name="X90f9439df653331d7cc85c43def573ed9cac0a1"/>
    <w:p>
      <w:pPr>
        <w:pStyle w:val="Heading2"/>
      </w:pPr>
      <w:r>
        <w:t xml:space="preserve">Apa Itu TCO dalam Konteks Beralih ke Penyedia CNG?</w:t>
      </w:r>
    </w:p>
    <w:p>
      <w:pPr>
        <w:pStyle w:val="FirstParagraph"/>
      </w:pPr>
      <w:r>
        <w:t xml:space="preserve">TCO adalah total biaya kepemilikan sebuah solusi energi selama masa pakainya, bukan sekadar harga bahan bakar. Ia menggabungkan</w:t>
      </w:r>
      <w:r>
        <w:t xml:space="preserve"> </w:t>
      </w:r>
      <w:r>
        <w:rPr>
          <w:i/>
          <w:iCs/>
        </w:rPr>
        <w:t xml:space="preserve">capital expenditure</w:t>
      </w:r>
      <w:r>
        <w:t xml:space="preserve"> </w:t>
      </w:r>
      <w:r>
        <w:t xml:space="preserve">(capex, belanja modal sekali di awal) dengan</w:t>
      </w:r>
      <w:r>
        <w:t xml:space="preserve"> </w:t>
      </w:r>
      <w:r>
        <w:rPr>
          <w:i/>
          <w:iCs/>
        </w:rPr>
        <w:t xml:space="preserve">operating expenditure</w:t>
      </w:r>
      <w:r>
        <w:t xml:space="preserve"> </w:t>
      </w:r>
      <w:r>
        <w:t xml:space="preserve">(opex, biaya operasi berulang). Membandingkan penyedia hanya dari harga gas per MMBTU mengabaikan biaya tersembunyi yang justru terberat di tahun pertama.</w:t>
      </w:r>
    </w:p>
    <w:p>
      <w:pPr>
        <w:pStyle w:val="BodyText"/>
      </w:pPr>
      <w:r>
        <w:t xml:space="preserve">Bedakan dua istilah ini sejak awal, karena keduanya berperilaku berbeda dalam arus kas. Capex adalah pengeluaran besar sekali waktu: modifikasi boiler, instalasi peralatan penurun tekanan, penyiapan lahan. Opex mengalir tiap bulan: harga gas, biaya angkut, operasi harian.</w:t>
      </w:r>
    </w:p>
    <w:p>
      <w:pPr>
        <w:pStyle w:val="BodyText"/>
      </w:pPr>
      <w:r>
        <w:t xml:space="preserve">Inilah akar kesalahan yang paling sering terjadi. Klaim populer</w:t>
      </w:r>
      <w:r>
        <w:t xml:space="preserve"> </w:t>
      </w:r>
      <w:r>
        <w:t xml:space="preserve">“gas bumi hanya sekitar 32% dari harga HSD”</w:t>
      </w:r>
      <w:r>
        <w:t xml:space="preserve"> </w:t>
      </w:r>
      <w:r>
        <w:t xml:space="preserve">(setara hemat 68%) yang beredar di halaman produk sejumlah penyedia, mengutip data KADIN, hanya membandingkan</w:t>
      </w:r>
      <w:r>
        <w:t xml:space="preserve"> </w:t>
      </w:r>
      <w:r>
        <w:rPr>
          <w:b/>
          <w:bCs/>
        </w:rPr>
        <w:t xml:space="preserve">harga bahan bakar</w:t>
      </w:r>
      <w:r>
        <w:t xml:space="preserve">, bukan TCO. Angka itu belum memperhitungkan capex retrofit yang menggerus penghematan bersih di tahun pertama. Perlakukan sebagai klaim pemasaran, bukan hasil pasti untuk pabrik Anda.</w:t>
      </w:r>
    </w:p>
    <w:bookmarkEnd w:id="18"/>
    <w:bookmarkStart w:id="19" w:name="Xb22be8e1e096fbfed7ad09d78148c9b90f2575e"/>
    <w:p>
      <w:pPr>
        <w:pStyle w:val="Heading2"/>
      </w:pPr>
      <w:r>
        <w:t xml:space="preserve">Lima Komponen Biaya yang Membentuk TCO CNG</w:t>
      </w:r>
    </w:p>
    <w:p>
      <w:pPr>
        <w:pStyle w:val="FirstParagraph"/>
      </w:pPr>
      <w:r>
        <w:t xml:space="preserve">TCO CNG terbentuk dari lima komponen: harga gas per MMBTU, biaya distribusi/transport lewat</w:t>
      </w:r>
      <w:r>
        <w:t xml:space="preserve"> </w:t>
      </w:r>
      <w:r>
        <w:rPr>
          <w:i/>
          <w:iCs/>
        </w:rPr>
        <w:t xml:space="preserve">Gas Transportation Module</w:t>
      </w:r>
      <w:r>
        <w:t xml:space="preserve"> </w:t>
      </w:r>
      <w:r>
        <w:t xml:space="preserve">(GTM), capex retrofit burner atau boiler beserta instalasi</w:t>
      </w:r>
      <w:r>
        <w:t xml:space="preserve"> </w:t>
      </w:r>
      <w:r>
        <w:rPr>
          <w:i/>
          <w:iCs/>
        </w:rPr>
        <w:t xml:space="preserve">Pressure Reduction Station</w:t>
      </w:r>
      <w:r>
        <w:t xml:space="preserve"> </w:t>
      </w:r>
      <w:r>
        <w:t xml:space="preserve">(PRS), penyiapan lahan atau penyimpanan di lokasi, dan biaya operasi serta monitoring harian. Dua bersifat sekali-bayar (capex), sisanya berulang (opex).</w:t>
      </w:r>
    </w:p>
    <w:p>
      <w:pPr>
        <w:pStyle w:val="BodyText"/>
      </w:pPr>
      <w:r>
        <w:t xml:space="preserve">Yang paling sering dilupakan bukan harga gasnya, melainkan tiga hal terakhir. Biaya distribusi via GTM naik seiring jarak lokasi ke</w:t>
      </w:r>
      <w:r>
        <w:t xml:space="preserve"> </w:t>
      </w:r>
      <w:r>
        <w:rPr>
          <w:i/>
          <w:iCs/>
        </w:rPr>
        <w:t xml:space="preserve">Mother Station</w:t>
      </w:r>
      <w:r>
        <w:t xml:space="preserve"> </w:t>
      </w:r>
      <w:r>
        <w:t xml:space="preserve">terdekat, dan sering sudah</w:t>
      </w:r>
      <w:r>
        <w:t xml:space="preserve"> </w:t>
      </w:r>
      <w:r>
        <w:t xml:space="preserve">“digabung”</w:t>
      </w:r>
      <w:r>
        <w:t xml:space="preserve"> </w:t>
      </w:r>
      <w:r>
        <w:t xml:space="preserve">ke harga per MMBTU tanpa Anda sadari. Retrofit burner memakai pendekatan</w:t>
      </w:r>
      <w:r>
        <w:t xml:space="preserve"> </w:t>
      </w:r>
      <w:r>
        <w:rPr>
          <w:i/>
          <w:iCs/>
        </w:rPr>
        <w:t xml:space="preserve">dual burner</w:t>
      </w:r>
      <w:r>
        <w:t xml:space="preserve"> </w:t>
      </w:r>
      <w:r>
        <w:t xml:space="preserve">agar boiler bisa beroperasi dengan gas maupun bahan bakar lama; tidak ada angka Rupiah standar publik untuk pekerjaan ini karena biayanya bergantung kapasitas boiler, jenis burner lama, dan vendor. Siapa pun yang menyodorkan angka capex pasti tanpa survei lokasi, patut Anda ragukan.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Komponen</w:t>
            </w:r>
          </w:p>
        </w:tc>
        <w:tc>
          <w:tcPr/>
          <w:p>
            <w:pPr>
              <w:pStyle w:val="Compact"/>
            </w:pPr>
            <w:r>
              <w:t xml:space="preserve">Jenis</w:t>
            </w:r>
          </w:p>
        </w:tc>
        <w:tc>
          <w:tcPr/>
          <w:p>
            <w:pPr>
              <w:pStyle w:val="Compact"/>
            </w:pPr>
            <w:r>
              <w:t xml:space="preserve">Sifat biaya</w:t>
            </w:r>
          </w:p>
        </w:tc>
        <w:tc>
          <w:tcPr/>
          <w:p>
            <w:pPr>
              <w:pStyle w:val="Compact"/>
            </w:pPr>
            <w:r>
              <w:t xml:space="preserve">Catatan</w:t>
            </w:r>
          </w:p>
        </w:tc>
      </w:tr>
      <w:tr>
        <w:tc>
          <w:tcPr/>
          <w:p>
            <w:pPr>
              <w:pStyle w:val="Compact"/>
            </w:pPr>
            <w:r>
              <w:t xml:space="preserve">Harga gas per MMBTU</w:t>
            </w:r>
          </w:p>
        </w:tc>
        <w:tc>
          <w:tcPr/>
          <w:p>
            <w:pPr>
              <w:pStyle w:val="Compact"/>
            </w:pPr>
            <w:r>
              <w:t xml:space="preserve">Opex</w:t>
            </w:r>
          </w:p>
        </w:tc>
        <w:tc>
          <w:tcPr/>
          <w:p>
            <w:pPr>
              <w:pStyle w:val="Compact"/>
            </w:pPr>
            <w:r>
              <w:t xml:space="preserve">Berulang (bulanan)</w:t>
            </w:r>
          </w:p>
        </w:tc>
        <w:tc>
          <w:tcPr/>
          <w:p>
            <w:pPr>
              <w:pStyle w:val="Compact"/>
            </w:pPr>
            <w:r>
              <w:t xml:space="preserve">Bergantung kategori: HGBT, gas pipa non-HGBT, atau LNG</w:t>
            </w:r>
          </w:p>
        </w:tc>
      </w:tr>
      <w:tr>
        <w:tc>
          <w:tcPr/>
          <w:p>
            <w:pPr>
              <w:pStyle w:val="Compact"/>
            </w:pPr>
            <w:r>
              <w:t xml:space="preserve">Distribusi/transport (GTM)</w:t>
            </w:r>
          </w:p>
        </w:tc>
        <w:tc>
          <w:tcPr/>
          <w:p>
            <w:pPr>
              <w:pStyle w:val="Compact"/>
            </w:pPr>
            <w:r>
              <w:t xml:space="preserve">Opex</w:t>
            </w:r>
          </w:p>
        </w:tc>
        <w:tc>
          <w:tcPr/>
          <w:p>
            <w:pPr>
              <w:pStyle w:val="Compact"/>
            </w:pPr>
            <w:r>
              <w:t xml:space="preserve">Berulang</w:t>
            </w:r>
          </w:p>
        </w:tc>
        <w:tc>
          <w:tcPr/>
          <w:p>
            <w:pPr>
              <w:pStyle w:val="Compact"/>
            </w:pPr>
            <w:r>
              <w:t xml:space="preserve">Naik seiring jarak ke</w:t>
            </w:r>
            <w:r>
              <w:t xml:space="preserve"> </w:t>
            </w:r>
            <w:r>
              <w:rPr>
                <w:i/>
                <w:iCs/>
              </w:rPr>
              <w:t xml:space="preserve">Mother Station</w:t>
            </w:r>
            <w:r>
              <w:t xml:space="preserve">; cek apakah sudah termasuk di harga per MMBTU</w:t>
            </w:r>
          </w:p>
        </w:tc>
      </w:tr>
      <w:tr>
        <w:tc>
          <w:tcPr/>
          <w:p>
            <w:pPr>
              <w:pStyle w:val="Compact"/>
            </w:pPr>
            <w:r>
              <w:t xml:space="preserve">Retrofit burner/boiler + PRS</w:t>
            </w:r>
          </w:p>
        </w:tc>
        <w:tc>
          <w:tcPr/>
          <w:p>
            <w:pPr>
              <w:pStyle w:val="Compact"/>
            </w:pPr>
            <w:r>
              <w:t xml:space="preserve">Capex</w:t>
            </w:r>
          </w:p>
        </w:tc>
        <w:tc>
          <w:tcPr/>
          <w:p>
            <w:pPr>
              <w:pStyle w:val="Compact"/>
            </w:pPr>
            <w:r>
              <w:t xml:space="preserve">Sekali di awal</w:t>
            </w:r>
          </w:p>
        </w:tc>
        <w:tc>
          <w:tcPr/>
          <w:p>
            <w:pPr>
              <w:pStyle w:val="Compact"/>
            </w:pPr>
            <w:r>
              <w:t xml:space="preserve">Tak ada angka Rupiah standar publik — bergantung kapasitas &amp; vendor; survei lokasi wajib</w:t>
            </w:r>
          </w:p>
        </w:tc>
      </w:tr>
      <w:tr>
        <w:tc>
          <w:tcPr/>
          <w:p>
            <w:pPr>
              <w:pStyle w:val="Compact"/>
            </w:pPr>
            <w:r>
              <w:t xml:space="preserve">Penyiapan lahan/penyimpanan</w:t>
            </w:r>
          </w:p>
        </w:tc>
        <w:tc>
          <w:tcPr/>
          <w:p>
            <w:pPr>
              <w:pStyle w:val="Compact"/>
            </w:pPr>
            <w:r>
              <w:t xml:space="preserve">Capex</w:t>
            </w:r>
          </w:p>
        </w:tc>
        <w:tc>
          <w:tcPr/>
          <w:p>
            <w:pPr>
              <w:pStyle w:val="Compact"/>
            </w:pPr>
            <w:r>
              <w:t xml:space="preserve">Sekali (atau sewa berkala)</w:t>
            </w:r>
          </w:p>
        </w:tc>
        <w:tc>
          <w:tcPr/>
          <w:p>
            <w:pPr>
              <w:pStyle w:val="Compact"/>
            </w:pPr>
            <w:r>
              <w:t xml:space="preserve">Termasuk perizinan dan aspek keselamatan (K3)</w:t>
            </w:r>
          </w:p>
        </w:tc>
      </w:tr>
      <w:tr>
        <w:tc>
          <w:tcPr/>
          <w:p>
            <w:pPr>
              <w:pStyle w:val="Compact"/>
            </w:pPr>
            <w:r>
              <w:t xml:space="preserve">Operasi &amp; monitoring</w:t>
            </w:r>
          </w:p>
        </w:tc>
        <w:tc>
          <w:tcPr/>
          <w:p>
            <w:pPr>
              <w:pStyle w:val="Compact"/>
            </w:pPr>
            <w:r>
              <w:t xml:space="preserve">Opex</w:t>
            </w:r>
          </w:p>
        </w:tc>
        <w:tc>
          <w:tcPr/>
          <w:p>
            <w:pPr>
              <w:pStyle w:val="Compact"/>
            </w:pPr>
            <w:r>
              <w:t xml:space="preserve">Berulang</w:t>
            </w:r>
          </w:p>
        </w:tc>
        <w:tc>
          <w:tcPr/>
          <w:p>
            <w:pPr>
              <w:pStyle w:val="Compact"/>
            </w:pPr>
            <w:r>
              <w:t xml:space="preserve">Telemetri untuk pencatatan akurat memudahkan audit tagihan</w:t>
            </w:r>
          </w:p>
        </w:tc>
      </w:tr>
    </w:tbl>
    <w:p>
      <w:pPr>
        <w:pStyle w:val="BodyText"/>
      </w:pPr>
      <w:r>
        <w:rPr>
          <w:i/>
          <w:iCs/>
        </w:rPr>
        <w:t xml:space="preserve">[Image 02: Bar-chart</w:t>
      </w:r>
      <w:r>
        <w:rPr>
          <w:i/>
          <w:iCs/>
        </w:rPr>
        <w:t xml:space="preserve"> </w:t>
      </w:r>
      <w:r>
        <w:rPr>
          <w:i/>
          <w:iCs/>
        </w:rPr>
        <w:t xml:space="preserve">“Harga Gas Industri 2026”</w:t>
      </w:r>
      <w:r>
        <w:rPr>
          <w:i/>
          <w:iCs/>
        </w:rPr>
        <w:t xml:space="preserve"> </w:t>
      </w:r>
      <w:r>
        <w:rPr>
          <w:i/>
          <w:iCs/>
        </w:rPr>
        <w:t xml:space="preserve">tiga batang (HGBT US$6,5–7, gas pipa non-HGBT ~US$9,6, LNG non-HGBT US$13, dalam USD/MMBTU); label mencolok</w:t>
      </w:r>
      <w:r>
        <w:rPr>
          <w:i/>
          <w:iCs/>
        </w:rPr>
        <w:t xml:space="preserve"> </w:t>
      </w:r>
      <w:r>
        <w:rPr>
          <w:i/>
          <w:iCs/>
        </w:rPr>
        <w:t xml:space="preserve">“per 29 Juni 2026, indikatif”</w:t>
      </w:r>
      <w:r>
        <w:rPr>
          <w:i/>
          <w:iCs/>
        </w:rPr>
        <w:t xml:space="preserve"> </w:t>
      </w:r>
      <w:r>
        <w:rPr>
          <w:i/>
          <w:iCs/>
        </w:rPr>
        <w:t xml:space="preserve">di sudut atas; warna biru gradasi, teks Bahasa Indonesia.]</w:t>
      </w:r>
    </w:p>
    <w:bookmarkEnd w:id="19"/>
    <w:bookmarkStart w:id="21" w:name="berapa-lama-payback-beralih-ke-cng"/>
    <w:p>
      <w:pPr>
        <w:pStyle w:val="Heading2"/>
      </w:pPr>
      <w:r>
        <w:t xml:space="preserve">Berapa Lama Payback Beralih ke CNG?</w:t>
      </w:r>
    </w:p>
    <w:p>
      <w:pPr>
        <w:pStyle w:val="FirstParagraph"/>
      </w:pPr>
      <w:r>
        <w:t xml:space="preserve">Payback ditaksir dari selisih biaya energi bulanan (bahan bakar lama dikurangi CNG), lalu total capex dibagi selisih itu untuk mendapat estimasi jumlah bulan. Tidak ada angka payback universal; pabrik berkonsumsi besar dan dekat</w:t>
      </w:r>
      <w:r>
        <w:t xml:space="preserve"> </w:t>
      </w:r>
      <w:r>
        <w:rPr>
          <w:i/>
          <w:iCs/>
        </w:rPr>
        <w:t xml:space="preserve">Mother Station</w:t>
      </w:r>
      <w:r>
        <w:t xml:space="preserve"> </w:t>
      </w:r>
      <w:r>
        <w:t xml:space="preserve">menutup capex jauh lebih cepat daripada pabrik kecil atau musiman. Perhitungan jujur selalu berbasis survei konsumsi aktual.</w:t>
      </w:r>
    </w:p>
    <w:p>
      <w:pPr>
        <w:pStyle w:val="BodyText"/>
      </w:pPr>
      <w:r>
        <w:t xml:space="preserve">Basis opex-nya adalah harga gas industri 2026 (lihat tabel di atas). Per evaluasi 29 Juni 2026, HGBT bertahan di US$6,5–7/MMBTU, gas pipa non-HGBT rata-rata sekitar US$9,6/MMBTU, dan LNG non-HGBT dipangkas dari kisaran US$20–23 menjadi US$13/MMBTU (</w:t>
      </w:r>
      <w:hyperlink r:id="rId20">
        <w:r>
          <w:rPr>
            <w:rStyle w:val="Hyperlink"/>
          </w:rPr>
          <w:t xml:space="preserve">Kontan, 29–30 Juni 2026</w:t>
        </w:r>
      </w:hyperlink>
      <w:r>
        <w:t xml:space="preserve">). Menteri ESDM Bahlil Lahadalia menegaskan pemotongan LNG ini hanya untuk industri manufaktur, bukan pembangkit listrik. Angka ini bersifat kebijakan yang dapat berubah sewaktu-waktu, jadi selalu cek pembaruan resmi ESDM.</w:t>
      </w:r>
    </w:p>
    <w:p>
      <w:pPr>
        <w:pStyle w:val="BodyText"/>
      </w:pPr>
      <w:r>
        <w:t xml:space="preserve">Pembanding sisi lama biasanya solar. Harga HSD industri periode 1–14 Juni 2026 berada di Rp25.850–26.200 per liter tergantung area (Area 1 Rp25.850; Area 4 Papua/Maluku Rp26.200). Angka ini berbeda dari solar retail SPBU (Pertamina Dex) yang lebih rendah; jangan mencampur keduanya dalam satu perbandingan industri. Harga HSD berubah tiap dua minggu, jadi cek angka terbaru di kanal resmi Pertamina Patra Niaga sebelum menghitung.</w:t>
      </w:r>
    </w:p>
    <w:p>
      <w:pPr>
        <w:pStyle w:val="BodyText"/>
      </w:pPr>
      <w:r>
        <w:t xml:space="preserve">Soal besarnya penghematan, jujurlah pada rentang. Media independen mencatat CNG rata-rata 10–30% lebih murah dari LPG (Kontan), sementara kajian ESDM dan Liputan6 menyebut potensi hemat biaya produksi hingga sekitar 40% pada kasus tertentu, misalnya sebuah pabrik kertas di Bekasi. Angka</w:t>
      </w:r>
      <w:r>
        <w:t xml:space="preserve"> </w:t>
      </w:r>
      <w:r>
        <w:t xml:space="preserve">“hemat 68%”</w:t>
      </w:r>
      <w:r>
        <w:t xml:space="preserve"> </w:t>
      </w:r>
      <w:r>
        <w:t xml:space="preserve">tadi berada di ujung optimistis dan hanya soal harga bahan bakar. Untuk taksiran payback yang aman, pakai rentang konservatif dan verifikasi dengan data konsumsi sendiri.</w:t>
      </w:r>
    </w:p>
    <w:bookmarkEnd w:id="21"/>
    <w:bookmarkStart w:id="23" w:name="Xec8ac43a0e9b258312e739c13a8c5a439e3f2cc"/>
    <w:p>
      <w:pPr>
        <w:pStyle w:val="Heading2"/>
      </w:pPr>
      <w:r>
        <w:t xml:space="preserve">Membandingkan Penyedia CNG Secara Adil: Samakan Basis Hitungan</w:t>
      </w:r>
    </w:p>
    <w:p>
      <w:pPr>
        <w:pStyle w:val="FirstParagraph"/>
      </w:pPr>
      <w:r>
        <w:t xml:space="preserve">Membandingkan penawaran secara adil berarti menyetarakan basis hitungan sebelum melihat harga. Pastikan tiga hal: apakah harga sudah termasuk biaya distribusi, siapa yang menanggung capex retrofit dan PRS, dan apakah asumsi volume konsumsi sama. Tanpa penyetaraan ini,</w:t>
      </w:r>
      <w:r>
        <w:t xml:space="preserve"> </w:t>
      </w:r>
      <w:r>
        <w:t xml:space="preserve">“harga termurah”</w:t>
      </w:r>
      <w:r>
        <w:t xml:space="preserve"> </w:t>
      </w:r>
      <w:r>
        <w:t xml:space="preserve">per MMBTU bisa menyesatkan; yang Anda cari adalah TCO terendah.</w:t>
      </w:r>
    </w:p>
    <w:p>
      <w:pPr>
        <w:pStyle w:val="BodyText"/>
      </w:pPr>
      <w:r>
        <w:t xml:space="preserve">Praktik penyetaraan yang berguna sebelum menandatangani kontrak:</w:t>
      </w:r>
    </w:p>
    <w:p>
      <w:pPr>
        <w:pStyle w:val="Compact"/>
        <w:numPr>
          <w:ilvl w:val="0"/>
          <w:numId w:val="1001"/>
        </w:numPr>
      </w:pPr>
      <w:r>
        <w:rPr>
          <w:b/>
          <w:bCs/>
        </w:rPr>
        <w:t xml:space="preserve">Minta rincian, bukan satu angka.</w:t>
      </w:r>
      <w:r>
        <w:t xml:space="preserve"> </w:t>
      </w:r>
      <w:r>
        <w:t xml:space="preserve">Pisahkan harga molekul gas dari biaya angkut GTM. Penyedia yang mencampur keduanya menyulitkan perbandingan lintas-vendor.</w:t>
      </w:r>
    </w:p>
    <w:p>
      <w:pPr>
        <w:pStyle w:val="Compact"/>
        <w:numPr>
          <w:ilvl w:val="0"/>
          <w:numId w:val="1001"/>
        </w:numPr>
      </w:pPr>
      <w:r>
        <w:rPr>
          <w:b/>
          <w:bCs/>
        </w:rPr>
        <w:t xml:space="preserve">Tanyakan struktur capex.</w:t>
      </w:r>
      <w:r>
        <w:t xml:space="preserve"> </w:t>
      </w:r>
      <w:r>
        <w:t xml:space="preserve">Apakah retrofit dan instalasi PRS ditanggung penyedia, disewakan, atau beban Anda sepenuhnya? Ini menggeser TCO secara drastis.</w:t>
      </w:r>
    </w:p>
    <w:p>
      <w:pPr>
        <w:pStyle w:val="Compact"/>
        <w:numPr>
          <w:ilvl w:val="0"/>
          <w:numId w:val="1001"/>
        </w:numPr>
      </w:pPr>
      <w:r>
        <w:rPr>
          <w:b/>
          <w:bCs/>
        </w:rPr>
        <w:t xml:space="preserve">Samakan volume dasar.</w:t>
      </w:r>
      <w:r>
        <w:t xml:space="preserve"> </w:t>
      </w:r>
      <w:r>
        <w:t xml:space="preserve">Minta setiap penawaran memakai asumsi konsumsi MMBTU/bulan yang identik agar harga per unit sebanding.</w:t>
      </w:r>
    </w:p>
    <w:p>
      <w:pPr>
        <w:pStyle w:val="Compact"/>
        <w:numPr>
          <w:ilvl w:val="0"/>
          <w:numId w:val="1001"/>
        </w:numPr>
      </w:pPr>
      <w:r>
        <w:rPr>
          <w:b/>
          <w:bCs/>
        </w:rPr>
        <w:t xml:space="preserve">Cek transparansi pengukuran.</w:t>
      </w:r>
      <w:r>
        <w:t xml:space="preserve"> </w:t>
      </w:r>
      <w:r>
        <w:t xml:space="preserve">Penyedia yang memasang telemetri untuk penagihan akurat memudahkan Anda mengaudit tagihan dan menyamakan basis hitungan.</w:t>
      </w:r>
    </w:p>
    <w:p>
      <w:pPr>
        <w:pStyle w:val="FirstParagraph"/>
      </w:pPr>
      <w:r>
        <w:t xml:space="preserve">Sebagai gambaran skala, PGN Gagas melalui</w:t>
      </w:r>
      <w:r>
        <w:t xml:space="preserve"> </w:t>
      </w:r>
      <w:hyperlink r:id="rId22">
        <w:r>
          <w:rPr>
            <w:rStyle w:val="Hyperlink"/>
          </w:rPr>
          <w:t xml:space="preserve">layanan Gaslink untuk industri</w:t>
        </w:r>
      </w:hyperlink>
      <w:r>
        <w:t xml:space="preserve"> </w:t>
      </w:r>
      <w:r>
        <w:t xml:space="preserve">tercatat melayani 600 pelanggan dengan volume 10,85 BBTUD per September 2025 (Katadata). Ini menandakan penyaluran CNG</w:t>
      </w:r>
      <w:r>
        <w:t xml:space="preserve"> </w:t>
      </w:r>
      <w:r>
        <w:rPr>
          <w:i/>
          <w:iCs/>
        </w:rPr>
        <w:t xml:space="preserve">beyond-pipeline</w:t>
      </w:r>
      <w:r>
        <w:t xml:space="preserve"> </w:t>
      </w:r>
      <w:r>
        <w:t xml:space="preserve">sudah beroperasi pada skala nyata, bukan sekadar konsep.</w:t>
      </w:r>
    </w:p>
    <w:p>
      <w:pPr>
        <w:pStyle w:val="BodyText"/>
      </w:pPr>
      <w:r>
        <w:rPr>
          <w:i/>
          <w:iCs/>
        </w:rPr>
        <w:t xml:space="preserve">[Image 03: Alur horizontal 4 langkah</w:t>
      </w:r>
      <w:r>
        <w:rPr>
          <w:i/>
          <w:iCs/>
        </w:rPr>
        <w:t xml:space="preserve"> </w:t>
      </w:r>
      <w:r>
        <w:rPr>
          <w:i/>
          <w:iCs/>
        </w:rPr>
        <w:t xml:space="preserve">“Cara Menaksir Payback Period”</w:t>
      </w:r>
      <w:r>
        <w:rPr>
          <w:i/>
          <w:iCs/>
        </w:rPr>
        <w:t xml:space="preserve">: (1) opex bahan bakar lama, (2) estimasi opex CNG, (3) selisih bulanan, (4) total capex dibagi selisih; catatan kecil</w:t>
      </w:r>
      <w:r>
        <w:rPr>
          <w:i/>
          <w:iCs/>
        </w:rPr>
        <w:t xml:space="preserve"> </w:t>
      </w:r>
      <w:r>
        <w:rPr>
          <w:i/>
          <w:iCs/>
        </w:rPr>
        <w:t xml:space="preserve">“ilustratif, verifikasi lewat survei lokasi”</w:t>
      </w:r>
      <w:r>
        <w:rPr>
          <w:i/>
          <w:iCs/>
        </w:rPr>
        <w:t xml:space="preserve">; warna abu ke hijau, teks Bahasa Indonesia.]</w:t>
      </w:r>
    </w:p>
    <w:bookmarkEnd w:id="23"/>
    <w:bookmarkStart w:id="26" w:name="kapan-tco-justru-belum-berpihak-pada-cng"/>
    <w:p>
      <w:pPr>
        <w:pStyle w:val="Heading2"/>
      </w:pPr>
      <w:r>
        <w:t xml:space="preserve">Kapan TCO Justru Belum Berpihak pada CNG</w:t>
      </w:r>
    </w:p>
    <w:p>
      <w:pPr>
        <w:pStyle w:val="FirstParagraph"/>
      </w:pPr>
      <w:r>
        <w:t xml:space="preserve">Ada kondisi ketika angka TCO tidak mendukung perpindahan ke CNG, dan jujur soal ini menghemat waktu semua pihak. Konsumsi terlalu kecil membuat capex retrofit sulit tertutup, lokasi jauh dari</w:t>
      </w:r>
      <w:r>
        <w:t xml:space="preserve"> </w:t>
      </w:r>
      <w:r>
        <w:rPr>
          <w:i/>
          <w:iCs/>
        </w:rPr>
        <w:t xml:space="preserve">Mother Station</w:t>
      </w:r>
      <w:r>
        <w:t xml:space="preserve"> </w:t>
      </w:r>
      <w:r>
        <w:t xml:space="preserve">menaikkan biaya distribusi, dan fasilitas yang sudah dilalui pipa bersubsidi atau berkebutuhan musiman juga menggeser hitungan.</w:t>
      </w:r>
    </w:p>
    <w:p>
      <w:pPr>
        <w:pStyle w:val="BodyText"/>
      </w:pPr>
      <w:r>
        <w:t xml:space="preserve">Empat sinyal bahwa CNG mungkin belum tepat untuk Anda saat ini:</w:t>
      </w:r>
    </w:p>
    <w:p>
      <w:pPr>
        <w:pStyle w:val="Compact"/>
        <w:numPr>
          <w:ilvl w:val="0"/>
          <w:numId w:val="1002"/>
        </w:numPr>
      </w:pPr>
      <w:r>
        <w:rPr>
          <w:b/>
          <w:bCs/>
        </w:rPr>
        <w:t xml:space="preserve">Konsumsi terlalu kecil.</w:t>
      </w:r>
      <w:r>
        <w:t xml:space="preserve"> </w:t>
      </w:r>
      <w:r>
        <w:t xml:space="preserve">Volume rendah memperpanjang payback karena capex tetap harus dibayar penuh.</w:t>
      </w:r>
    </w:p>
    <w:p>
      <w:pPr>
        <w:pStyle w:val="Compact"/>
        <w:numPr>
          <w:ilvl w:val="0"/>
          <w:numId w:val="1002"/>
        </w:numPr>
      </w:pPr>
      <w:r>
        <w:rPr>
          <w:b/>
          <w:bCs/>
        </w:rPr>
        <w:t xml:space="preserve">Jarak jauh ke infrastruktur.</w:t>
      </w:r>
      <w:r>
        <w:t xml:space="preserve"> </w:t>
      </w:r>
      <w:r>
        <w:t xml:space="preserve">Semakin jauh dari</w:t>
      </w:r>
      <w:r>
        <w:t xml:space="preserve"> </w:t>
      </w:r>
      <w:r>
        <w:rPr>
          <w:i/>
          <w:iCs/>
        </w:rPr>
        <w:t xml:space="preserve">Mother Station</w:t>
      </w:r>
      <w:r>
        <w:t xml:space="preserve">, biaya angkut GTM semakin membebani opex bulanan.</w:t>
      </w:r>
    </w:p>
    <w:p>
      <w:pPr>
        <w:pStyle w:val="Compact"/>
        <w:numPr>
          <w:ilvl w:val="0"/>
          <w:numId w:val="1002"/>
        </w:numPr>
      </w:pPr>
      <w:r>
        <w:rPr>
          <w:b/>
          <w:bCs/>
        </w:rPr>
        <w:t xml:space="preserve">Sudah terhubung pipa HGBT.</w:t>
      </w:r>
      <w:r>
        <w:t xml:space="preserve"> </w:t>
      </w:r>
      <w:r>
        <w:t xml:space="preserve">Jika fasilitas memenuhi syarat</w:t>
      </w:r>
      <w:r>
        <w:t xml:space="preserve"> </w:t>
      </w:r>
      <w:hyperlink r:id="rId24">
        <w:r>
          <w:rPr>
            <w:rStyle w:val="Hyperlink"/>
          </w:rPr>
          <w:t xml:space="preserve">HGBT di US$6,5–7/MMBTU</w:t>
        </w:r>
      </w:hyperlink>
      <w:r>
        <w:t xml:space="preserve"> </w:t>
      </w:r>
      <w:r>
        <w:t xml:space="preserve">(skema untuk tujuh sektor industri tertentu, menurut Kementerian ESDM), gas pipa bersubsidi biasanya lebih murah daripada CNG</w:t>
      </w:r>
      <w:r>
        <w:t xml:space="preserve"> </w:t>
      </w:r>
      <w:r>
        <w:rPr>
          <w:i/>
          <w:iCs/>
        </w:rPr>
        <w:t xml:space="preserve">beyond-pipeline</w:t>
      </w:r>
      <w:r>
        <w:t xml:space="preserve">.</w:t>
      </w:r>
    </w:p>
    <w:p>
      <w:pPr>
        <w:pStyle w:val="Compact"/>
        <w:numPr>
          <w:ilvl w:val="0"/>
          <w:numId w:val="1002"/>
        </w:numPr>
      </w:pPr>
      <w:r>
        <w:rPr>
          <w:b/>
          <w:bCs/>
        </w:rPr>
        <w:t xml:space="preserve">Kebutuhan musiman.</w:t>
      </w:r>
      <w:r>
        <w:t xml:space="preserve"> </w:t>
      </w:r>
      <w:r>
        <w:t xml:space="preserve">Utilisasi rendah sepanjang tahun menurunkan penghematan agregat dan memperpanjang balik modal.</w:t>
      </w:r>
    </w:p>
    <w:p>
      <w:pPr>
        <w:pStyle w:val="FirstParagraph"/>
      </w:pPr>
      <w:r>
        <w:t xml:space="preserve">Dalam skenario tersebut, membandingkan CNG dengan opsi lain, termasuk</w:t>
      </w:r>
      <w:r>
        <w:t xml:space="preserve"> </w:t>
      </w:r>
      <w:hyperlink r:id="rId25">
        <w:r>
          <w:rPr>
            <w:rStyle w:val="Hyperlink"/>
          </w:rPr>
          <w:t xml:space="preserve">LNG untuk industri</w:t>
        </w:r>
      </w:hyperlink>
      <w:r>
        <w:t xml:space="preserve"> </w:t>
      </w:r>
      <w:r>
        <w:t xml:space="preserve">yang kini di US$13/MMBTU untuk manufaktur, atau menunda konversi bisa lebih rasional secara biaya. TCO yang benar terkadang menjawab</w:t>
      </w:r>
      <w:r>
        <w:t xml:space="preserve"> </w:t>
      </w:r>
      <w:r>
        <w:t xml:space="preserve">“belum”</w:t>
      </w:r>
      <w:r>
        <w:t xml:space="preserve">, dan itu jawaban yang sah.</w:t>
      </w:r>
    </w:p>
    <w:bookmarkEnd w:id="26"/>
    <w:bookmarkStart w:id="33" w:name="faq-pertanyaan-yang-sering-diajukan"/>
    <w:p>
      <w:pPr>
        <w:pStyle w:val="Heading2"/>
      </w:pPr>
      <w:r>
        <w:t xml:space="preserve">FAQ (Pertanyaan yang Sering Diajukan)</w:t>
      </w:r>
    </w:p>
    <w:bookmarkStart w:id="27" w:name="apa-itu-tco-saat-beralih-ke-penyedia-cng"/>
    <w:p>
      <w:pPr>
        <w:pStyle w:val="Heading3"/>
      </w:pPr>
      <w:r>
        <w:t xml:space="preserve">Apa itu TCO saat beralih ke penyedia CNG?</w:t>
      </w:r>
    </w:p>
    <w:p>
      <w:pPr>
        <w:pStyle w:val="FirstParagraph"/>
      </w:pPr>
      <w:r>
        <w:t xml:space="preserve">TCO (</w:t>
      </w:r>
      <w:r>
        <w:rPr>
          <w:i/>
          <w:iCs/>
        </w:rPr>
        <w:t xml:space="preserve">Total Cost of Ownership</w:t>
      </w:r>
      <w:r>
        <w:t xml:space="preserve">) adalah total biaya kepemilikan selama masa pakai solusi energi, bukan hanya harga gas per MMBTU. Ia mencakup capex sekali-bayar (retrofit burner, instalasi PRS) plus opex berulang (harga gas, distribusi GTM, operasi). Menilai penyedia hanya dari harga per MMBTU mengabaikan biaya tersembunyi di tahun pertama.</w:t>
      </w:r>
    </w:p>
    <w:bookmarkEnd w:id="27"/>
    <w:bookmarkStart w:id="28" w:name="X98eb67a53c8b1f8fab1fdfe88f1d3618e61e84b"/>
    <w:p>
      <w:pPr>
        <w:pStyle w:val="Heading3"/>
      </w:pPr>
      <w:r>
        <w:t xml:space="preserve">Berapa harga CNG industri per MMBTU pada 2026?</w:t>
      </w:r>
    </w:p>
    <w:p>
      <w:pPr>
        <w:pStyle w:val="FirstParagraph"/>
      </w:pPr>
      <w:r>
        <w:t xml:space="preserve">Per evaluasi 29 Juni 2026, tiga kategori berlaku: HGBT tetap US$6,5–7/MMBTU untuk tujuh sektor tertentu; gas pipa non-HGBT rata-rata sekitar US$9,6/MMBTU; LNG non-HGBT dipangkas dari US$20–23 menjadi US$13/MMBTU untuk manufaktur (Menteri ESDM Bahlil Lahadalia). Angka ini bersifat kebijakan dan dapat berubah; selalu cek pembaruan resmi ESDM.</w:t>
      </w:r>
    </w:p>
    <w:bookmarkEnd w:id="28"/>
    <w:bookmarkStart w:id="29" w:name="Xc2b6543af40b2bc88ac1f25459eeb94a21bddf9"/>
    <w:p>
      <w:pPr>
        <w:pStyle w:val="Heading3"/>
      </w:pPr>
      <w:r>
        <w:t xml:space="preserve">Berapa penghematan beralih dari solar atau LPG ke CNG?</w:t>
      </w:r>
    </w:p>
    <w:p>
      <w:pPr>
        <w:pStyle w:val="FirstParagraph"/>
      </w:pPr>
      <w:r>
        <w:t xml:space="preserve">Bervariasi menurut sumber. Media independen mencatat CNG rata-rata 10–30% lebih murah dari LPG (Kontan), sedangkan kajian ESDM/Liputan6 menyebut potensi hemat hingga sekitar 40% pada kasus tertentu. Klaim</w:t>
      </w:r>
      <w:r>
        <w:t xml:space="preserve"> </w:t>
      </w:r>
      <w:r>
        <w:t xml:space="preserve">“hemat 68%”</w:t>
      </w:r>
      <w:r>
        <w:t xml:space="preserve"> </w:t>
      </w:r>
      <w:r>
        <w:t xml:space="preserve">berasal dari data KADIN yang dikutip halaman vendor dan hanya soal harga bahan bakar, bukan hasil otomatis untuk semua pabrik.</w:t>
      </w:r>
    </w:p>
    <w:bookmarkEnd w:id="29"/>
    <w:bookmarkStart w:id="30" w:name="X2a09905f5376a00c7d0817a16c42cbdaee21312"/>
    <w:p>
      <w:pPr>
        <w:pStyle w:val="Heading3"/>
      </w:pPr>
      <w:r>
        <w:t xml:space="preserve">Apa saja biaya di luar harga gas saat pindah ke CNG?</w:t>
      </w:r>
    </w:p>
    <w:p>
      <w:pPr>
        <w:pStyle w:val="FirstParagraph"/>
      </w:pPr>
      <w:r>
        <w:t xml:space="preserve">Setidaknya empat: biaya distribusi via GTM, capex retrofit burner atau boiler, instalasi PRS beserta penyiapan lahan, dan biaya operasi serta monitoring harian. Tidak ada angka Rupiah standar untuk retrofit; biayanya bergantung kapasitas boiler, jenis burner lama, dan jarak ke</w:t>
      </w:r>
      <w:r>
        <w:t xml:space="preserve"> </w:t>
      </w:r>
      <w:r>
        <w:rPr>
          <w:i/>
          <w:iCs/>
        </w:rPr>
        <w:t xml:space="preserve">Mother Station</w:t>
      </w:r>
      <w:r>
        <w:t xml:space="preserve"> </w:t>
      </w:r>
      <w:r>
        <w:t xml:space="preserve">terdekat.</w:t>
      </w:r>
    </w:p>
    <w:bookmarkEnd w:id="30"/>
    <w:bookmarkStart w:id="31" w:name="berapa-lama-payback-konversi-ke-cng"/>
    <w:p>
      <w:pPr>
        <w:pStyle w:val="Heading3"/>
      </w:pPr>
      <w:r>
        <w:t xml:space="preserve">Berapa lama payback konversi ke CNG?</w:t>
      </w:r>
    </w:p>
    <w:p>
      <w:pPr>
        <w:pStyle w:val="FirstParagraph"/>
      </w:pPr>
      <w:r>
        <w:t xml:space="preserve">Payback ditaksir dari total capex dibagi selisih biaya energi bulanan antara bahan bakar lama dan CNG. Tidak ada angka universal; pabrik berkonsumsi besar dan dekat</w:t>
      </w:r>
      <w:r>
        <w:t xml:space="preserve"> </w:t>
      </w:r>
      <w:r>
        <w:rPr>
          <w:i/>
          <w:iCs/>
        </w:rPr>
        <w:t xml:space="preserve">Mother Station</w:t>
      </w:r>
      <w:r>
        <w:t xml:space="preserve"> </w:t>
      </w:r>
      <w:r>
        <w:t xml:space="preserve">menutup capex lebih cepat daripada pabrik kecil atau musiman. Perhitungan jujur selalu berbasis survei konsumsi aktual, bukan tabel generik.</w:t>
      </w:r>
    </w:p>
    <w:bookmarkEnd w:id="31"/>
    <w:bookmarkStart w:id="32" w:name="Xecd79043e6a31defd583edfb1191820ec191fbb"/>
    <w:p>
      <w:pPr>
        <w:pStyle w:val="Heading3"/>
      </w:pPr>
      <w:r>
        <w:t xml:space="preserve">Kapan sebaiknya perusahaan menunda beralih ke CNG?</w:t>
      </w:r>
    </w:p>
    <w:p>
      <w:pPr>
        <w:pStyle w:val="FirstParagraph"/>
      </w:pPr>
      <w:r>
        <w:t xml:space="preserve">Ketika konsumsi terlalu kecil untuk menutup capex retrofit, lokasi jauh dari</w:t>
      </w:r>
      <w:r>
        <w:t xml:space="preserve"> </w:t>
      </w:r>
      <w:r>
        <w:rPr>
          <w:i/>
          <w:iCs/>
        </w:rPr>
        <w:t xml:space="preserve">Mother Station</w:t>
      </w:r>
      <w:r>
        <w:t xml:space="preserve"> </w:t>
      </w:r>
      <w:r>
        <w:t xml:space="preserve">sehingga biaya distribusi melonjak, fasilitas sudah terhubung pipa HGBT bersubsidi (US$6,5–7/MMBTU) yang lebih murah, atau kebutuhan energi sangat musiman. Dalam kondisi tersebut, bahan bakar lama atau opsi lain bisa lebih rasional secara biaya.</w:t>
      </w:r>
    </w:p>
    <w:bookmarkEnd w:id="32"/>
    <w:bookmarkEnd w:id="33"/>
    <w:bookmarkStart w:id="34" w:name="kesimpulan"/>
    <w:p>
      <w:pPr>
        <w:pStyle w:val="Heading2"/>
      </w:pPr>
      <w:r>
        <w:t xml:space="preserve">Kesimpulan</w:t>
      </w:r>
    </w:p>
    <w:p>
      <w:pPr>
        <w:pStyle w:val="FirstParagraph"/>
      </w:pPr>
      <w:r>
        <w:t xml:space="preserve">Keputusan pengadaan yang baik dimulai dari pertanyaan yang benar: bukan</w:t>
      </w:r>
      <w:r>
        <w:t xml:space="preserve"> </w:t>
      </w:r>
      <w:r>
        <w:t xml:space="preserve">“siapa paling murah per MMBTU?”</w:t>
      </w:r>
      <w:r>
        <w:t xml:space="preserve">, melainkan</w:t>
      </w:r>
      <w:r>
        <w:t xml:space="preserve"> </w:t>
      </w:r>
      <w:r>
        <w:t xml:space="preserve">“siapa yang memberi TCO terendah dengan struktur biaya paling transparan?”</w:t>
      </w:r>
      <w:r>
        <w:t xml:space="preserve">. Harga gas hanya satu dari lima komponen; capex retrofit dan biaya distribusi menentukan payback sesungguhnya. Sebagai anak usaha PGN yang merupakan bagian dari Subholding Gas Pertamina, PGN Gagas menyalurkan gas bumi ke pelanggan industri dan komersial lewat solusi CNG</w:t>
      </w:r>
      <w:r>
        <w:t xml:space="preserve"> </w:t>
      </w:r>
      <w:r>
        <w:rPr>
          <w:i/>
          <w:iCs/>
        </w:rPr>
        <w:t xml:space="preserve">beyond-pipeline</w:t>
      </w:r>
      <w:r>
        <w:t xml:space="preserve">, dan dapat membantu menyusun hitungan TCO realistis berbasis survei lokasi.</w:t>
      </w:r>
    </w:p>
    <w:p>
      <w:pPr>
        <w:pStyle w:val="BodyText"/>
      </w:pPr>
      <w:r>
        <w:t xml:space="preserve">Untuk mendiskusikan penilaian kelayakan dan struktur biaya konversi di fasilitas Anda, kunjungi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5" Target="https://gagas.co.id/perusahaan-lng-indonesia/" TargetMode="External" /><Relationship Type="http://schemas.openxmlformats.org/officeDocument/2006/relationships/hyperlink" Id="rId20" Target="https://industri.kontan.co.id/news/evaluasi-harga-gas-industri-hgbt-dan-gas-pipa-tetap-lng-turun-ke-us-13-per-mmbtu" TargetMode="External" /><Relationship Type="http://schemas.openxmlformats.org/officeDocument/2006/relationships/hyperlink" Id="rId24" Target="https://www.esdm.go.id/id/media-center/arsip-berita/skema-baru-hgbt-perkuat-daya-saing-industri-dan-efisiensi-anggaran-negara" TargetMode="External" /></Relationships>
</file>

<file path=word/_rels/footnotes.xml.rels><?xml version="1.0" encoding="UTF-8"?><Relationships xmlns="http://schemas.openxmlformats.org/package/2006/relationships"><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5" Target="https://gagas.co.id/perusahaan-lng-indonesia/" TargetMode="External" /><Relationship Type="http://schemas.openxmlformats.org/officeDocument/2006/relationships/hyperlink" Id="rId20" Target="https://industri.kontan.co.id/news/evaluasi-harga-gas-industri-hgbt-dan-gas-pipa-tetap-lng-turun-ke-us-13-per-mmbtu" TargetMode="External" /><Relationship Type="http://schemas.openxmlformats.org/officeDocument/2006/relationships/hyperlink" Id="rId24" Target="https://www.esdm.go.id/id/media-center/arsip-berita/skema-baru-hgbt-perkuat-daya-saing-industri-dan-efisiensi-anggaran-nega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2026-07-08T03:07:43Z</dcterms:created>
  <dcterms:modified xsi:type="dcterms:W3CDTF">2026-07-08T03:07:43Z</dcterms:modified>
</cp:coreProperties>
</file>

<file path=docProps/custom.xml><?xml version="1.0" encoding="utf-8"?>
<Properties xmlns="http://schemas.openxmlformats.org/officeDocument/2006/custom-properties" xmlns:vt="http://schemas.openxmlformats.org/officeDocument/2006/docPropsVTypes"/>
</file>