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"Keandalan Penyedia CNG: Jaminan Kelangsungan Bisnis Anda"</w:t>
      </w:r>
      <w:r>
        <w:br/>
      </w:r>
      <w:r>
        <w:rPr>
          <w:rStyle w:val="FunctionTok"/>
        </w:rPr>
        <w:t xml:space="preserve">meta_title</w:t>
      </w:r>
      <w:r>
        <w:rPr>
          <w:rStyle w:val="KeywordTok"/>
        </w:rPr>
        <w:t xml:space="preserve">:</w:t>
      </w:r>
      <w:r>
        <w:rPr>
          <w:rStyle w:val="AttributeTok"/>
        </w:rPr>
        <w:t xml:space="preserve"> </w:t>
      </w:r>
      <w:r>
        <w:rPr>
          <w:rStyle w:val="StringTok"/>
        </w:rPr>
        <w:t xml:space="preserve">"Keandalan Penyedia CNG untuk Kelangsungan Bisnis"</w:t>
      </w:r>
      <w:r>
        <w:br/>
      </w:r>
      <w:r>
        <w:rPr>
          <w:rStyle w:val="FunctionTok"/>
        </w:rPr>
        <w:t xml:space="preserve">meta_description</w:t>
      </w:r>
      <w:r>
        <w:rPr>
          <w:rStyle w:val="KeywordTok"/>
        </w:rPr>
        <w:t xml:space="preserve">:</w:t>
      </w:r>
      <w:r>
        <w:rPr>
          <w:rStyle w:val="AttributeTok"/>
        </w:rPr>
        <w:t xml:space="preserve"> </w:t>
      </w:r>
      <w:r>
        <w:rPr>
          <w:rStyle w:val="StringTok"/>
        </w:rPr>
        <w:t xml:space="preserve">"Cara menilai keandalan penyedia CNG dari sisi business continuity: pelajaran krisis pasokan 2025–2026, peran CNG sebagai backup, dan isi SLA yang melindungi."</w:t>
      </w:r>
      <w:r>
        <w:br/>
      </w:r>
      <w:r>
        <w:rPr>
          <w:rStyle w:val="FunctionTok"/>
        </w:rPr>
        <w:t xml:space="preserve">slug</w:t>
      </w:r>
      <w:r>
        <w:rPr>
          <w:rStyle w:val="KeywordTok"/>
        </w:rPr>
        <w:t xml:space="preserve">:</w:t>
      </w:r>
      <w:r>
        <w:rPr>
          <w:rStyle w:val="AttributeTok"/>
        </w:rPr>
        <w:t xml:space="preserve"> </w:t>
      </w:r>
      <w:r>
        <w:rPr>
          <w:rStyle w:val="StringTok"/>
        </w:rPr>
        <w:t xml:space="preserve">"keandalan-penyedia-cng-kelangsungan-bisnis"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"keandalan pasokan gas industri"</w:t>
      </w:r>
      <w:r>
        <w:br/>
      </w:r>
      <w:r>
        <w:rPr>
          <w:rStyle w:val="AttributeTok"/>
        </w:rPr>
        <w:t xml:space="preserve">  </w:t>
      </w:r>
      <w:r>
        <w:rPr>
          <w:rStyle w:val="KeywordTok"/>
        </w:rPr>
        <w:t xml:space="preserve">-</w:t>
      </w:r>
      <w:r>
        <w:rPr>
          <w:rStyle w:val="AttributeTok"/>
        </w:rPr>
        <w:t xml:space="preserve"> </w:t>
      </w:r>
      <w:r>
        <w:rPr>
          <w:rStyle w:val="StringTok"/>
        </w:rPr>
        <w:t xml:space="preserve">"business continuity pasokan energi"</w:t>
      </w:r>
      <w:r>
        <w:br/>
      </w:r>
      <w:r>
        <w:rPr>
          <w:rStyle w:val="AttributeTok"/>
        </w:rPr>
        <w:t xml:space="preserve">  </w:t>
      </w:r>
      <w:r>
        <w:rPr>
          <w:rStyle w:val="KeywordTok"/>
        </w:rPr>
        <w:t xml:space="preserve">-</w:t>
      </w:r>
      <w:r>
        <w:rPr>
          <w:rStyle w:val="AttributeTok"/>
        </w:rPr>
        <w:t xml:space="preserve"> </w:t>
      </w:r>
      <w:r>
        <w:rPr>
          <w:rStyle w:val="StringTok"/>
        </w:rPr>
        <w:t xml:space="preserve">"force majeure pasokan gas"</w:t>
      </w:r>
      <w:r>
        <w:br/>
      </w:r>
      <w:r>
        <w:rPr>
          <w:rStyle w:val="AttributeTok"/>
        </w:rPr>
        <w:t xml:space="preserve">  </w:t>
      </w:r>
      <w:r>
        <w:rPr>
          <w:rStyle w:val="KeywordTok"/>
        </w:rPr>
        <w:t xml:space="preserve">-</w:t>
      </w:r>
      <w:r>
        <w:rPr>
          <w:rStyle w:val="AttributeTok"/>
        </w:rPr>
        <w:t xml:space="preserve"> </w:t>
      </w:r>
      <w:r>
        <w:rPr>
          <w:rStyle w:val="StringTok"/>
        </w:rPr>
        <w:t xml:space="preserve">"kuota HGBT dan AGIT"</w:t>
      </w:r>
      <w:r>
        <w:br/>
      </w:r>
      <w:r>
        <w:rPr>
          <w:rStyle w:val="AttributeTok"/>
        </w:rPr>
        <w:t xml:space="preserve">  </w:t>
      </w:r>
      <w:r>
        <w:rPr>
          <w:rStyle w:val="KeywordTok"/>
        </w:rPr>
        <w:t xml:space="preserve">-</w:t>
      </w:r>
      <w:r>
        <w:rPr>
          <w:rStyle w:val="AttributeTok"/>
        </w:rPr>
        <w:t xml:space="preserve"> </w:t>
      </w:r>
      <w:r>
        <w:rPr>
          <w:rStyle w:val="StringTok"/>
        </w:rPr>
        <w:t xml:space="preserve">"CNG sebagai backup pasokan"</w:t>
      </w:r>
      <w:r>
        <w:br/>
      </w:r>
      <w:r>
        <w:rPr>
          <w:rStyle w:val="AttributeTok"/>
        </w:rPr>
        <w:t xml:space="preserve">  </w:t>
      </w:r>
      <w:r>
        <w:rPr>
          <w:rStyle w:val="KeywordTok"/>
        </w:rPr>
        <w:t xml:space="preserve">-</w:t>
      </w:r>
      <w:r>
        <w:rPr>
          <w:rStyle w:val="AttributeTok"/>
        </w:rPr>
        <w:t xml:space="preserve"> </w:t>
      </w:r>
      <w:r>
        <w:rPr>
          <w:rStyle w:val="StringTok"/>
        </w:rPr>
        <w:t xml:space="preserve">"SLA kontrak pasokan gas"</w:t>
      </w:r>
      <w:r>
        <w:br/>
      </w:r>
      <w:r>
        <w:rPr>
          <w:rStyle w:val="AttributeTok"/>
        </w:rPr>
        <w:t xml:space="preserve">  </w:t>
      </w:r>
      <w:r>
        <w:rPr>
          <w:rStyle w:val="KeywordTok"/>
        </w:rPr>
        <w:t xml:space="preserve">-</w:t>
      </w:r>
      <w:r>
        <w:rPr>
          <w:rStyle w:val="AttributeTok"/>
        </w:rPr>
        <w:t xml:space="preserve"> </w:t>
      </w:r>
      <w:r>
        <w:rPr>
          <w:rStyle w:val="StringTok"/>
        </w:rPr>
        <w:t xml:space="preserve">"virtual pipeline beyond pipeline"</w:t>
      </w:r>
      <w:r>
        <w:br/>
      </w:r>
      <w:r>
        <w:rPr>
          <w:rStyle w:val="AttributeTok"/>
        </w:rPr>
        <w:t xml:space="preserve">  </w:t>
      </w:r>
      <w:r>
        <w:rPr>
          <w:rStyle w:val="KeywordTok"/>
        </w:rPr>
        <w:t xml:space="preserve">-</w:t>
      </w:r>
      <w:r>
        <w:rPr>
          <w:rStyle w:val="AttributeTok"/>
        </w:rPr>
        <w:t xml:space="preserve"> </w:t>
      </w:r>
      <w:r>
        <w:rPr>
          <w:rStyle w:val="StringTok"/>
        </w:rPr>
        <w:t xml:space="preserve">"redundansi Mother Station dan armada GTM"</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CNG 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"https://www.esdm.go.id/id/media-center/arsip-berita/selamatkan-industri-menteri-esdm-turunkan-harga-lng-industri"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"Penurunan harga LNG non-HGBT untuk industri terdampak di Jabar/Banten/Jakarta menjadi US$13/MMBTU, efektif 29 Juni 2026 (Kementerian ESDM)"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"https://industri.kontan.co.id/news/asaki-pasokan-gas-industri-dari-pgn-turun-utilisasi-pabrik-keramik-terancam"</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"Realisasi AGIT ~47,5% (Jan–Mei 2026), proyeksi &lt;30% Juni 2026, dan biaya gas rata-rata industri US$15–16/MMBTU vs acuan HGBT US$7/MMBTU (Kontan)"</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1552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3" w:name="X4469a30b63585f03a3f63cd4e843a970af998e5"/>
    <w:p>
      <w:pPr>
        <w:pStyle w:val="Heading1"/>
      </w:pPr>
      <w:r>
        <w:t xml:space="preserve">Keandalan Penyedia CNG: Jaminan Kelangsungan Bisnis Anda</w:t>
      </w:r>
    </w:p>
    <w:p>
      <w:pPr>
        <w:pStyle w:val="FirstParagraph"/>
      </w:pPr>
      <w:r>
        <w:t xml:space="preserve">Ketika pasokan gas dari pipa tersendat beberapa jam saja, lini produksi bisa berhenti dan pesanan meleset dari tenggat. Sepanjang 2025–2026, industri keramik, kaca, dan baja merasakannya langsung: kuota gas dipangkas, biaya melonjak, utilisasi pabrik turun. Pelajarannya jelas bagi kepala operasi mana pun. Memilih penyedia CNG bukan soal siapa yang menjanjikan harga termurah, melainkan siapa yang bisa menjaga pasokan tetap mengalir saat keadaan memburuk. Artikel ini membahas keandalan</w:t>
      </w:r>
      <w:r>
        <w:t xml:space="preserve"> </w:t>
      </w:r>
      <w:hyperlink r:id="rId17">
        <w:r>
          <w:rPr>
            <w:rStyle w:val="Hyperlink"/>
          </w:rPr>
          <w:t xml:space="preserve">penyedia CNG di Indonesia</w:t>
        </w:r>
      </w:hyperlink>
      <w:r>
        <w:t xml:space="preserve"> </w:t>
      </w:r>
      <w:r>
        <w:t xml:space="preserve">dari sisi kelangsungan bisnis (</w:t>
      </w:r>
      <w:r>
        <w:rPr>
          <w:i/>
          <w:iCs/>
        </w:rPr>
        <w:t xml:space="preserve">business continuity</w:t>
      </w:r>
      <w:r>
        <w:t xml:space="preserve">): apa yang benar-benar melindungi Anda, dan apa yang tidak bisa dijanjikan siapa pun.</w:t>
      </w:r>
    </w:p>
    <w:p>
      <w:pPr>
        <w:pStyle w:val="BlockText"/>
      </w:pPr>
      <w:r>
        <w:rPr>
          <w:b/>
          <w:bCs/>
        </w:rPr>
        <w:t xml:space="preserve">Ringkasnya:</w:t>
      </w:r>
      <w:r>
        <w:t xml:space="preserve"> </w:t>
      </w:r>
      <w:r>
        <w:t xml:space="preserve">Keandalan pasokan penyedia CNG, dari sisi kelangsungan bisnis, adalah kemampuan penyedia menjaga gas tetap mengalir ke pelanggan meski terjadi gangguan di sisi hulu atau distribusi. Keandalan itu diukur lewat kecepatan respons, cadangan kapasitas, dan kejelasan kompensasi dalam kontrak (</w:t>
      </w:r>
      <w:r>
        <w:rPr>
          <w:i/>
          <w:iCs/>
        </w:rPr>
        <w:t xml:space="preserve">Service Level Agreement</w:t>
      </w:r>
      <w:r>
        <w:t xml:space="preserve">/SLA), bukan sekadar sertifikat keselamatan.</w:t>
      </w:r>
    </w:p>
    <w:p>
      <w:pPr>
        <w:pStyle w:val="FirstParagraph"/>
      </w:pPr>
      <w:r>
        <w:rPr>
          <w:i/>
          <w:iCs/>
        </w:rPr>
        <w:t xml:space="preserve">[Image 01: Timeline infografis horizontal</w:t>
      </w:r>
      <w:r>
        <w:rPr>
          <w:i/>
          <w:iCs/>
        </w:rPr>
        <w:t xml:space="preserve"> </w:t>
      </w:r>
      <w:r>
        <w:rPr>
          <w:i/>
          <w:iCs/>
        </w:rPr>
        <w:t xml:space="preserve">“Kronologi gangguan pasokan gas industri 2025–2026”</w:t>
      </w:r>
      <w:r>
        <w:rPr>
          <w:i/>
          <w:iCs/>
        </w:rPr>
        <w:t xml:space="preserve"> </w:t>
      </w:r>
      <w:r>
        <w:rPr>
          <w:i/>
          <w:iCs/>
        </w:rPr>
        <w:t xml:space="preserve">dengan empat titik: 15 Agustus 2025 (surat force majeure PGN), Kuartal I 2026 (utilisasi keramik ~70%), April 2026 (AGIT ~37,5% menurut asosiasi), 29 Juni 2026 (harga LNG ke US$13/MMBTU). Gaya korporat biru-abu, ikon per titik, teks Bahasa Indonesia. Alt-text:</w:t>
      </w:r>
      <w:r>
        <w:rPr>
          <w:i/>
          <w:iCs/>
        </w:rPr>
        <w:t xml:space="preserve"> </w:t>
      </w:r>
      <w:r>
        <w:rPr>
          <w:i/>
          <w:iCs/>
        </w:rPr>
        <w:t xml:space="preserve">“Garis waktu krisis pasokan gas industri Indonesia 2025–2026”</w:t>
      </w:r>
      <w:r>
        <w:rPr>
          <w:i/>
          <w:iCs/>
        </w:rPr>
        <w:t xml:space="preserve">.]</w:t>
      </w:r>
    </w:p>
    <w:bookmarkStart w:id="18" w:name="X3172c0852bda0cd5ab6439d9188ed5079d49ae3"/>
    <w:p>
      <w:pPr>
        <w:pStyle w:val="Heading2"/>
      </w:pPr>
      <w:r>
        <w:t xml:space="preserve">Apa Arti</w:t>
      </w:r>
      <w:r>
        <w:t xml:space="preserve"> </w:t>
      </w:r>
      <w:r>
        <w:t xml:space="preserve">“Keandalan Pasokan”</w:t>
      </w:r>
      <w:r>
        <w:t xml:space="preserve"> </w:t>
      </w:r>
      <w:r>
        <w:t xml:space="preserve">dari Kacamata Kelangsungan Bisnis?</w:t>
      </w:r>
    </w:p>
    <w:p>
      <w:pPr>
        <w:pStyle w:val="FirstParagraph"/>
      </w:pPr>
      <w:r>
        <w:t xml:space="preserve">Keandalan pasokan dari kacamata kelangsungan bisnis berarti gas tetap tersedia dalam volume dan waktu yang cukup untuk menjaga lini produksi berjalan, bukan sekadar bukti bahwa gas ditangani secara aman. Ini soal kontinuitas, bukan kepatuhan. Standar keselamatan menjawab</w:t>
      </w:r>
      <w:r>
        <w:t xml:space="preserve"> </w:t>
      </w:r>
      <w:r>
        <w:t xml:space="preserve">“apakah aman?”</w:t>
      </w:r>
      <w:r>
        <w:t xml:space="preserve">; keandalan pasokan menjawab</w:t>
      </w:r>
      <w:r>
        <w:t xml:space="preserve"> </w:t>
      </w:r>
      <w:r>
        <w:t xml:space="preserve">“apakah produksi saya bisa berhenti mendadak?”</w:t>
      </w:r>
    </w:p>
    <w:p>
      <w:pPr>
        <w:pStyle w:val="BodyText"/>
      </w:pPr>
      <w:r>
        <w:t xml:space="preserve">Kedua hal ini kerap tertukar. Sertifikasi seperti ISO 45001 membuktikan penyedia mengelola risiko keselamatan dengan disiplin, tetapi tidak menjamin volume gas sampai ke pabrik saat sumber hulu bergejolak.</w:t>
      </w:r>
    </w:p>
    <w:p>
      <w:pPr>
        <w:pStyle w:val="BodyText"/>
      </w:pPr>
      <w:r>
        <w:t xml:space="preserve">Bagi tim operasional, keandalan terasa sangat konkret: berapa jam Anda sanggup bertahan jika pasokan turun, siapa yang bisa dihubungi pukul dua dini hari, dan apakah ada moda cadangan ketika jalur utama tumbang. Ketiga pertanyaan itu, yakni durasi, respons, dan alternatif, adalah inti rencana kontinuitas pasokan (</w:t>
      </w:r>
      <w:r>
        <w:rPr>
          <w:i/>
          <w:iCs/>
        </w:rPr>
        <w:t xml:space="preserve">business continuity plan</w:t>
      </w:r>
      <w:r>
        <w:t xml:space="preserve">).</w:t>
      </w:r>
    </w:p>
    <w:bookmarkEnd w:id="18"/>
    <w:bookmarkStart w:id="19" w:name="X738173ddcc556f0346f536edf397b14bc86a8de"/>
    <w:p>
      <w:pPr>
        <w:pStyle w:val="Heading2"/>
      </w:pPr>
      <w:r>
        <w:t xml:space="preserve">Pelajaran dari Gangguan Pasokan Gas 2025–2026</w:t>
      </w:r>
    </w:p>
    <w:p>
      <w:pPr>
        <w:pStyle w:val="FirstParagraph"/>
      </w:pPr>
      <w:r>
        <w:t xml:space="preserve">Dua peristiwa berbeda, meski sering dianggap satu, mengajarkan hal penting: gangguan pasokan gas nyata, mahal, dan bisa berulang. Yang pertama adalah</w:t>
      </w:r>
      <w:r>
        <w:t xml:space="preserve"> </w:t>
      </w:r>
      <w:r>
        <w:rPr>
          <w:i/>
          <w:iCs/>
        </w:rPr>
        <w:t xml:space="preserve">force majeure</w:t>
      </w:r>
      <w:r>
        <w:t xml:space="preserve"> </w:t>
      </w:r>
      <w:r>
        <w:t xml:space="preserve">PGN pada Agustus 2025; yang kedua penurunan realisasi alokasi gas sepanjang 2026. Keduanya terkait secara pola, tetapi tanggal dan angkanya tidak identik.</w:t>
      </w:r>
    </w:p>
    <w:p>
      <w:pPr>
        <w:pStyle w:val="BodyText"/>
      </w:pPr>
      <w:r>
        <w:t xml:space="preserve">Pada 15 Agustus 2025, PGN menyatakan kondisi darurat pasokan (surat No. 048800.PENG/PP/PDO/2025) akibat gangguan di sisi hulu. Selama 13–31 Agustus 2025, industri di Jawa Barat hanya bisa memakai 48% dari volume gas Harga Gas Bumi Tertentu (HGBT)-nya, turun dari kuota normal 60%, dan wilayah timur dibatasi 40%. Pemakaian di atas kuota dikenai</w:t>
      </w:r>
      <w:r>
        <w:t xml:space="preserve"> </w:t>
      </w:r>
      <w:r>
        <w:rPr>
          <w:i/>
          <w:iCs/>
        </w:rPr>
        <w:t xml:space="preserve">surcharge</w:t>
      </w:r>
      <w:r>
        <w:t xml:space="preserve"> </w:t>
      </w:r>
      <w:r>
        <w:t xml:space="preserve">120% dari harga acuan (dasar sekitar US$14,8/MMBTU), sehingga tarif efektifnya melonjak ke kisaran US$16,8–17,8/MMBTU. Ini rentang, bukan satu titik pasti, karena sumber berbeda memberi hasil akhir sedikit berbeda.</w:t>
      </w:r>
    </w:p>
    <w:p>
      <w:pPr>
        <w:pStyle w:val="BodyText"/>
      </w:pPr>
      <w:r>
        <w:t xml:space="preserve">Episode kedua berjalan sepanjang 2026 dan bersumber pada volume, bukan surat darurat baru. Menurut Asaki, realisasi Alokasi Gas Industri Tertentu (AGIT) dari PGN untuk keramik rata-rata hanya sekitar 47,5% dari kebutuhan pada Januari–Mei 2026, dengan titik terendah sekitar 37,5% di Jawa Barat pada April 2026 dan proyeksi di bawah 30% untuk Juni. Angka AGIT ini klaim asosiasi industri, bukan rilis resmi regulator. Akibatnya, biaya gas rata-rata yang dibayar industri naik ke US$15–16/MMBTU, dua kali lipat harga acuan HGBT US$7/MMBTU (Kontan, 24 Juni 2026).</w:t>
      </w:r>
    </w:p>
    <w:p>
      <w:pPr>
        <w:pStyle w:val="BodyText"/>
      </w:pPr>
      <w:r>
        <w:t xml:space="preserve">Dampaknya terlihat di lantai produksi. Utilisasi pabrik keramik nasional pada kuartal I 2026 berada di kisaran 70%, turun dari sekitar 80% pada periode sama 2025, sebelum membaik ke sekitar 72,5% pada semester I. Pada akhir Juni 2026, Kementerian ESDM turun tangan: harga LNG untuk industri non-HGBT terdampak di Jawa Barat, Banten, dan Jakarta dipangkas ke US$13/MMBTU, efektif 29 Juni 2026 (Kementerian ESDM). Poinnya untuk pembeli jelas: satu titik gangguan di hulu bisa merambat ke seluruh rantai, dan penyedia yang andal adalah yang sudah menyiapkan rencana.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Periode</w:t>
            </w:r>
          </w:p>
        </w:tc>
        <w:tc>
          <w:tcPr/>
          <w:p>
            <w:pPr>
              <w:pStyle w:val="Compact"/>
            </w:pPr>
            <w:r>
              <w:t xml:space="preserve">Peristiwa</w:t>
            </w:r>
          </w:p>
        </w:tc>
        <w:tc>
          <w:tcPr/>
          <w:p>
            <w:pPr>
              <w:pStyle w:val="Compact"/>
            </w:pPr>
            <w:r>
              <w:t xml:space="preserve">Angka kunci</w:t>
            </w:r>
          </w:p>
        </w:tc>
      </w:tr>
      <w:tr>
        <w:tc>
          <w:tcPr/>
          <w:p>
            <w:pPr>
              <w:pStyle w:val="Compact"/>
            </w:pPr>
            <w:r>
              <w:t xml:space="preserve">15 Agustus 2025</w:t>
            </w:r>
          </w:p>
        </w:tc>
        <w:tc>
          <w:tcPr/>
          <w:p>
            <w:pPr>
              <w:pStyle w:val="Compact"/>
            </w:pPr>
            <w:r>
              <w:t xml:space="preserve">PGN menyatakan</w:t>
            </w:r>
            <w:r>
              <w:t xml:space="preserve"> </w:t>
            </w:r>
            <w:r>
              <w:rPr>
                <w:i/>
                <w:iCs/>
              </w:rPr>
              <w:t xml:space="preserve">force majeure</w:t>
            </w:r>
            <w:r>
              <w:t xml:space="preserve"> </w:t>
            </w:r>
            <w:r>
              <w:t xml:space="preserve">pasokan hulu</w:t>
            </w:r>
          </w:p>
        </w:tc>
        <w:tc>
          <w:tcPr/>
          <w:p>
            <w:pPr>
              <w:pStyle w:val="Compact"/>
            </w:pPr>
            <w:r>
              <w:t xml:space="preserve">Surat No. 048800.PENG/PP/PDO/2025</w:t>
            </w:r>
          </w:p>
        </w:tc>
      </w:tr>
      <w:tr>
        <w:tc>
          <w:tcPr/>
          <w:p>
            <w:pPr>
              <w:pStyle w:val="Compact"/>
            </w:pPr>
            <w:r>
              <w:t xml:space="preserve">13–31 Agustus 2025</w:t>
            </w:r>
          </w:p>
        </w:tc>
        <w:tc>
          <w:tcPr/>
          <w:p>
            <w:pPr>
              <w:pStyle w:val="Compact"/>
            </w:pPr>
            <w:r>
              <w:t xml:space="preserve">Pembatasan kuota HGBT +</w:t>
            </w:r>
            <w:r>
              <w:t xml:space="preserve"> </w:t>
            </w:r>
            <w:r>
              <w:rPr>
                <w:i/>
                <w:iCs/>
              </w:rPr>
              <w:t xml:space="preserve">surcharge</w:t>
            </w:r>
            <w:r>
              <w:t xml:space="preserve"> </w:t>
            </w:r>
            <w:r>
              <w:t xml:space="preserve">darurat</w:t>
            </w:r>
          </w:p>
        </w:tc>
        <w:tc>
          <w:tcPr/>
          <w:p>
            <w:pPr>
              <w:pStyle w:val="Compact"/>
            </w:pPr>
            <w:r>
              <w:t xml:space="preserve">Kuota 48% (Jabar) / 40% (timur);</w:t>
            </w:r>
            <w:r>
              <w:t xml:space="preserve"> </w:t>
            </w:r>
            <w:r>
              <w:rPr>
                <w:i/>
                <w:iCs/>
              </w:rPr>
              <w:t xml:space="preserve">surcharge</w:t>
            </w:r>
            <w:r>
              <w:t xml:space="preserve"> </w:t>
            </w:r>
            <w:r>
              <w:t xml:space="preserve">~US$16,8–17,8/MMBTU</w:t>
            </w:r>
          </w:p>
        </w:tc>
      </w:tr>
      <w:tr>
        <w:tc>
          <w:tcPr/>
          <w:p>
            <w:pPr>
              <w:pStyle w:val="Compact"/>
            </w:pPr>
            <w:r>
              <w:t xml:space="preserve">Jan–Mei 2026</w:t>
            </w:r>
          </w:p>
        </w:tc>
        <w:tc>
          <w:tcPr/>
          <w:p>
            <w:pPr>
              <w:pStyle w:val="Compact"/>
            </w:pPr>
            <w:r>
              <w:t xml:space="preserve">Rerata realisasi AGIT keramik (menurut Asaki)</w:t>
            </w:r>
          </w:p>
        </w:tc>
        <w:tc>
          <w:tcPr/>
          <w:p>
            <w:pPr>
              <w:pStyle w:val="Compact"/>
            </w:pPr>
            <w:r>
              <w:t xml:space="preserve">~47,5% dari kebutuhan; titik terendah ~37,5% (April, Jabar)</w:t>
            </w:r>
          </w:p>
        </w:tc>
      </w:tr>
      <w:tr>
        <w:tc>
          <w:tcPr/>
          <w:p>
            <w:pPr>
              <w:pStyle w:val="Compact"/>
            </w:pPr>
            <w:r>
              <w:t xml:space="preserve">29 Juni 2026</w:t>
            </w:r>
          </w:p>
        </w:tc>
        <w:tc>
          <w:tcPr/>
          <w:p>
            <w:pPr>
              <w:pStyle w:val="Compact"/>
            </w:pPr>
            <w:r>
              <w:t xml:space="preserve">Pemerintah pangkas harga LNG non-HGBT terdampak</w:t>
            </w:r>
          </w:p>
        </w:tc>
        <w:tc>
          <w:tcPr/>
          <w:p>
            <w:pPr>
              <w:pStyle w:val="Compact"/>
            </w:pPr>
            <w:r>
              <w:t xml:space="preserve">US$20–23 → US$13/MMBTU (Jabar/Banten/Jakarta)</w:t>
            </w:r>
          </w:p>
        </w:tc>
      </w:tr>
    </w:tbl>
    <w:bookmarkEnd w:id="19"/>
    <w:bookmarkStart w:id="22" w:name="Xddbf80443d03aab5a6583793b88f727c71d0cba"/>
    <w:p>
      <w:pPr>
        <w:pStyle w:val="Heading2"/>
      </w:pPr>
      <w:r>
        <w:t xml:space="preserve">Bisakah CNG Jadi Backup Saat Pasokan Pipa Terganggu?</w:t>
      </w:r>
    </w:p>
    <w:p>
      <w:pPr>
        <w:pStyle w:val="FirstParagraph"/>
      </w:pPr>
      <w:r>
        <w:t xml:space="preserve">Ya, secara konsep CNG dapat berperan sebagai cadangan atau alternatif ketika pasokan pipa terganggu. CNG (</w:t>
      </w:r>
      <w:r>
        <w:rPr>
          <w:i/>
          <w:iCs/>
        </w:rPr>
        <w:t xml:space="preserve">Compressed Natural Gas</w:t>
      </w:r>
      <w:r>
        <w:t xml:space="preserve">) diangkut lewat modul kompresi di atas truk, kadang disebut</w:t>
      </w:r>
      <w:r>
        <w:t xml:space="preserve"> </w:t>
      </w:r>
      <w:r>
        <w:rPr>
          <w:i/>
          <w:iCs/>
        </w:rPr>
        <w:t xml:space="preserve">virtual pipeline</w:t>
      </w:r>
      <w:r>
        <w:t xml:space="preserve">, sehingga tidak bergantung pada satu jalur pipa fisik. Saat pipa terdampak gangguan hulu, moda mobile ini bisa menjangkau lokasi yang terputus.</w:t>
      </w:r>
    </w:p>
    <w:p>
      <w:pPr>
        <w:pStyle w:val="BodyText"/>
      </w:pPr>
      <w:r>
        <w:t xml:space="preserve">Logikanya sama dengan respons pemerintah atas krisis 2026: menyalurkan LNG berharga US$13/MMBTU ke industri non-HGBT terdampak sebagai jalur pasokan alternatif. LNG dan CNG adalah dua moda</w:t>
      </w:r>
      <w:r>
        <w:t xml:space="preserve"> </w:t>
      </w:r>
      <w:r>
        <w:rPr>
          <w:i/>
          <w:iCs/>
        </w:rPr>
        <w:t xml:space="preserve">beyond-pipeline</w:t>
      </w:r>
      <w:r>
        <w:t xml:space="preserve"> </w:t>
      </w:r>
      <w:r>
        <w:t xml:space="preserve">yang saling melengkapi. Karena itu, banyak pembeli industri kini menempatkan CNG dan</w:t>
      </w:r>
      <w:r>
        <w:t xml:space="preserve"> </w:t>
      </w:r>
      <w:hyperlink r:id="rId20">
        <w:r>
          <w:rPr>
            <w:rStyle w:val="Hyperlink"/>
          </w:rPr>
          <w:t xml:space="preserve">pasokan LNG</w:t>
        </w:r>
      </w:hyperlink>
      <w:r>
        <w:t xml:space="preserve"> </w:t>
      </w:r>
      <w:r>
        <w:t xml:space="preserve">sebagai lapisan kedua dalam rencana kontinuitasnya.</w:t>
      </w:r>
    </w:p>
    <w:p>
      <w:pPr>
        <w:pStyle w:val="BodyText"/>
      </w:pPr>
      <w:r>
        <w:t xml:space="preserve">Tetapi jujur saja pada batasnya. Kapasitas CNG dibatasi jumlah armada dan</w:t>
      </w:r>
      <w:r>
        <w:t xml:space="preserve"> </w:t>
      </w:r>
      <w:r>
        <w:rPr>
          <w:i/>
          <w:iCs/>
        </w:rPr>
        <w:t xml:space="preserve">Mother Station</w:t>
      </w:r>
      <w:r>
        <w:t xml:space="preserve">, sehingga volume per pengiriman lebih kecil dari pipa. Untuk pabrik besar yang biasa menyedot volume pipa masif, CNG lebih tepat diposisikan sebagai cadangan parsial atau pemasok untuk lokasi tanpa pipa, bukan pengganti penuh dalam sekejap. Di sinilah moda seperti</w:t>
      </w:r>
      <w:r>
        <w:t xml:space="preserve"> </w:t>
      </w:r>
      <w:hyperlink r:id="rId21">
        <w:r>
          <w:rPr>
            <w:rStyle w:val="Hyperlink"/>
          </w:rPr>
          <w:t xml:space="preserve">pasokan CNG Gaslink</w:t>
        </w:r>
      </w:hyperlink>
      <w:r>
        <w:t xml:space="preserve"> </w:t>
      </w:r>
      <w:r>
        <w:t xml:space="preserve">relevan: ia menyalurkan gas ke lokasi industri yang tidak bergantung pada satu jaringan pipa tunggal.</w:t>
      </w:r>
    </w:p>
    <w:p>
      <w:pPr>
        <w:pStyle w:val="BodyText"/>
      </w:pPr>
      <w:r>
        <w:rPr>
          <w:i/>
          <w:iCs/>
        </w:rPr>
        <w:t xml:space="preserve">[Image 02: Diagram dua kolom</w:t>
      </w:r>
      <w:r>
        <w:rPr>
          <w:i/>
          <w:iCs/>
        </w:rPr>
        <w:t xml:space="preserve"> </w:t>
      </w:r>
      <w:r>
        <w:rPr>
          <w:i/>
          <w:iCs/>
        </w:rPr>
        <w:t xml:space="preserve">“Pasokan pipa vs CNG beyond-pipeline saat gangguan”</w:t>
      </w:r>
      <w:r>
        <w:rPr>
          <w:i/>
          <w:iCs/>
        </w:rPr>
        <w:t xml:space="preserve">: kolom kiri jalur pipa tunggal rentan gangguan hulu (ikon peringatan merah), kolom kanan armada truk GTM menjangkau lokasi alternatif (hijau-biru). Teks Bahasa Indonesia. Alt-text:</w:t>
      </w:r>
      <w:r>
        <w:rPr>
          <w:i/>
          <w:iCs/>
        </w:rPr>
        <w:t xml:space="preserve"> </w:t>
      </w:r>
      <w:r>
        <w:rPr>
          <w:i/>
          <w:iCs/>
        </w:rPr>
        <w:t xml:space="preserve">“Perbandingan risiko gangguan pasokan gas pipa dan CNG beyond-pipeline”</w:t>
      </w:r>
      <w:r>
        <w:rPr>
          <w:i/>
          <w:iCs/>
        </w:rPr>
        <w:t xml:space="preserve">.]</w:t>
      </w:r>
    </w:p>
    <w:bookmarkEnd w:id="22"/>
    <w:bookmarkStart w:id="23" w:name="X3385de72dee6087405fe0e88a26e1e0e375097a"/>
    <w:p>
      <w:pPr>
        <w:pStyle w:val="Heading2"/>
      </w:pPr>
      <w:r>
        <w:t xml:space="preserve">Lapisan Redundansi yang Membedakan Penyedia Andal</w:t>
      </w:r>
    </w:p>
    <w:p>
      <w:pPr>
        <w:pStyle w:val="FirstParagraph"/>
      </w:pPr>
      <w:r>
        <w:t xml:space="preserve">Penyedia yang benar-benar andal membangun keandalan dalam lapisan, bukan satu janji. Ada empat lapisan yang bisa Anda periksa: sumber (cadangan kapasitas), moda transportasi (armada redundan), pemantauan (telemetri), dan kontrak (SLA yang jelas). Klaim</w:t>
      </w:r>
      <w:r>
        <w:t xml:space="preserve"> </w:t>
      </w:r>
      <w:r>
        <w:t xml:space="preserve">“kami andal”</w:t>
      </w:r>
      <w:r>
        <w:t xml:space="preserve"> </w:t>
      </w:r>
      <w:r>
        <w:t xml:space="preserve">tanpa bukti pada keempat lapisan ini layak dipertanyakan. Cara memverifikasinya praktis: minta data, bukan pernyataan.</w:t>
      </w:r>
    </w:p>
    <w:p>
      <w:pPr>
        <w:pStyle w:val="Compact"/>
        <w:numPr>
          <w:ilvl w:val="0"/>
          <w:numId w:val="1001"/>
        </w:numPr>
      </w:pPr>
      <w:r>
        <w:rPr>
          <w:b/>
          <w:bCs/>
        </w:rPr>
        <w:t xml:space="preserve">Sumber:</w:t>
      </w:r>
      <w:r>
        <w:t xml:space="preserve"> </w:t>
      </w:r>
      <w:r>
        <w:t xml:space="preserve">Berapa jumlah dan lokasi</w:t>
      </w:r>
      <w:r>
        <w:t xml:space="preserve"> </w:t>
      </w:r>
      <w:r>
        <w:rPr>
          <w:i/>
          <w:iCs/>
        </w:rPr>
        <w:t xml:space="preserve">Mother Station</w:t>
      </w:r>
      <w:r>
        <w:t xml:space="preserve">, dan adakah kapasitas kompresi cadangan bila satu titik bermasalah?</w:t>
      </w:r>
    </w:p>
    <w:p>
      <w:pPr>
        <w:pStyle w:val="Compact"/>
        <w:numPr>
          <w:ilvl w:val="0"/>
          <w:numId w:val="1001"/>
        </w:numPr>
      </w:pPr>
      <w:r>
        <w:rPr>
          <w:b/>
          <w:bCs/>
        </w:rPr>
        <w:t xml:space="preserve">Moda transportasi:</w:t>
      </w:r>
      <w:r>
        <w:t xml:space="preserve"> </w:t>
      </w:r>
      <w:r>
        <w:t xml:space="preserve">Berapa unit</w:t>
      </w:r>
      <w:r>
        <w:t xml:space="preserve"> </w:t>
      </w:r>
      <w:r>
        <w:rPr>
          <w:i/>
          <w:iCs/>
        </w:rPr>
        <w:t xml:space="preserve">Gas Transportation Module</w:t>
      </w:r>
      <w:r>
        <w:t xml:space="preserve"> </w:t>
      </w:r>
      <w:r>
        <w:t xml:space="preserve">(GTM) tersedia, dan apa rencana rotasi jika satu unit rusak?</w:t>
      </w:r>
    </w:p>
    <w:p>
      <w:pPr>
        <w:pStyle w:val="Compact"/>
        <w:numPr>
          <w:ilvl w:val="0"/>
          <w:numId w:val="1001"/>
        </w:numPr>
      </w:pPr>
      <w:r>
        <w:rPr>
          <w:b/>
          <w:bCs/>
        </w:rPr>
        <w:t xml:space="preserve">Pemantauan:</w:t>
      </w:r>
      <w:r>
        <w:t xml:space="preserve"> </w:t>
      </w:r>
      <w:r>
        <w:t xml:space="preserve">Adakah telemetri jarak jauh yang memantau tekanan dan volume secara</w:t>
      </w:r>
      <w:r>
        <w:t xml:space="preserve"> </w:t>
      </w:r>
      <w:r>
        <w:rPr>
          <w:i/>
          <w:iCs/>
        </w:rPr>
        <w:t xml:space="preserve">real-time</w:t>
      </w:r>
      <w:r>
        <w:t xml:space="preserve"> </w:t>
      </w:r>
      <w:r>
        <w:t xml:space="preserve">untuk deteksi dini?</w:t>
      </w:r>
    </w:p>
    <w:p>
      <w:pPr>
        <w:pStyle w:val="Compact"/>
        <w:numPr>
          <w:ilvl w:val="0"/>
          <w:numId w:val="1001"/>
        </w:numPr>
      </w:pPr>
      <w:r>
        <w:rPr>
          <w:b/>
          <w:bCs/>
        </w:rPr>
        <w:t xml:space="preserve">Kontrak/SLA:</w:t>
      </w:r>
      <w:r>
        <w:t xml:space="preserve"> </w:t>
      </w:r>
      <w:r>
        <w:t xml:space="preserve">Apa isi SLA soal waktu respons, kompensasi, dan bagaimana klausul</w:t>
      </w:r>
      <w:r>
        <w:t xml:space="preserve"> </w:t>
      </w:r>
      <w:r>
        <w:rPr>
          <w:i/>
          <w:iCs/>
        </w:rPr>
        <w:t xml:space="preserve">force majeure</w:t>
      </w:r>
      <w:r>
        <w:t xml:space="preserve"> </w:t>
      </w:r>
      <w:r>
        <w:t xml:space="preserve">dirumuskan?</w:t>
      </w:r>
    </w:p>
    <w:p>
      <w:pPr>
        <w:pStyle w:val="FirstParagraph"/>
      </w:pPr>
      <w:r>
        <w:t xml:space="preserve">Lapisan keempat sering diabaikan pembeli, padahal paling menentukan saat gangguan terjadi. Sebagai ilustrasi, sejumlah kontrak energi industri mencantumkan target keandalan hingga 99,9%, tetapi ini contoh</w:t>
      </w:r>
      <w:r>
        <w:t xml:space="preserve"> </w:t>
      </w:r>
      <w:r>
        <w:rPr>
          <w:i/>
          <w:iCs/>
        </w:rPr>
        <w:t xml:space="preserve">benchmark</w:t>
      </w:r>
      <w:r>
        <w:t xml:space="preserve"> </w:t>
      </w:r>
      <w:r>
        <w:t xml:space="preserve">umum di industri, bukan komitmen baku satu penyedia tertentu. Yang lebih berguna daripada angka pemasaran adalah bukti operasional: penyedia dengan telemetri dan cadangan armada, seperti PGN Gagas dengan jaringan GTM dan</w:t>
      </w:r>
      <w:r>
        <w:t xml:space="preserve"> </w:t>
      </w:r>
      <w:r>
        <w:rPr>
          <w:i/>
          <w:iCs/>
        </w:rPr>
        <w:t xml:space="preserve">Mother Station</w:t>
      </w:r>
      <w:r>
        <w:t xml:space="preserve">-nya, memudahkan Anda memverifikasi klaim redundansi.</w:t>
      </w:r>
    </w:p>
    <w:bookmarkEnd w:id="23"/>
    <w:bookmarkStart w:id="24" w:name="Xa06154c6096cf7de52b6d97899bb57500297f7e"/>
    <w:p>
      <w:pPr>
        <w:pStyle w:val="Heading2"/>
      </w:pPr>
      <w:r>
        <w:t xml:space="preserve">Batas Jujur: Apa yang Tidak Bisa Dijamin Penyedia Mana Pun</w:t>
      </w:r>
    </w:p>
    <w:p>
      <w:pPr>
        <w:pStyle w:val="FirstParagraph"/>
      </w:pPr>
      <w:r>
        <w:t xml:space="preserve">Tidak ada penyedia yang jujur akan menjanjikan nol gangguan. Alasannya struktural: sumber gas nasional berasal dari produksi hulu yang sama. Jika hulu bergejolak, seperti pada</w:t>
      </w:r>
      <w:r>
        <w:t xml:space="preserve"> </w:t>
      </w:r>
      <w:r>
        <w:rPr>
          <w:i/>
          <w:iCs/>
        </w:rPr>
        <w:t xml:space="preserve">force majeure</w:t>
      </w:r>
      <w:r>
        <w:t xml:space="preserve"> </w:t>
      </w:r>
      <w:r>
        <w:t xml:space="preserve">Agustus 2025, semua moda distribusi di bawahnya, termasuk CNG dan LNG, terpapar risiko serupa.</w:t>
      </w:r>
    </w:p>
    <w:p>
      <w:pPr>
        <w:pStyle w:val="BodyText"/>
      </w:pPr>
      <w:r>
        <w:t xml:space="preserve">Bahkan pemain sebesar PGN pun mengalami</w:t>
      </w:r>
      <w:r>
        <w:t xml:space="preserve"> </w:t>
      </w:r>
      <w:r>
        <w:rPr>
          <w:i/>
          <w:iCs/>
        </w:rPr>
        <w:t xml:space="preserve">force majeure</w:t>
      </w:r>
      <w:r>
        <w:t xml:space="preserve"> </w:t>
      </w:r>
      <w:r>
        <w:t xml:space="preserve">hulu pada 2025 dan tekanan realisasi AGIT sepanjang 2026. Itu bukti bahwa risiko pasokan hulu adalah realitas industri, bukan kegagalan satu perusahaan. Redundansi moda mengurangi risiko titik-tunggal-kegagalan pada distribusi, tetapi tidak menghilangkan risiko di hulu.</w:t>
      </w:r>
    </w:p>
    <w:p>
      <w:pPr>
        <w:pStyle w:val="BodyText"/>
      </w:pPr>
      <w:r>
        <w:t xml:space="preserve">Maka pendekatan yang realistis bukan mengejar janji 100% dari satu moda, melainkan diversifikasi. Kombinasi pipa untuk beban dasar ditambah CNG atau LNG sebagai cadangan memberi Anda pilihan saat satu jalur turun. Yang perlu Anda tuntut dari calon penyedia bukan jaminan mustahil, melainkan transparansi: seberapa cepat mereka merespons, seberapa jelas kompensasinya, dan seberapa terbuka soal keterbatasan. Kejujuran itu justru sinyal keandalan yang paling bisa dipercaya.</w:t>
      </w:r>
    </w:p>
    <w:p>
      <w:pPr>
        <w:pStyle w:val="BodyText"/>
      </w:pPr>
      <w:r>
        <w:rPr>
          <w:i/>
          <w:iCs/>
        </w:rPr>
        <w:t xml:space="preserve">[Image 03: Diagram piramida empat lapisan redundansi penyedia CNG, dari bawah ke atas: Sumber (Mother Station), Moda (armada GTM), Pemantauan (telemetri), Kontrak (SLA). Tiap lapisan berikon dengan satu indikator verifikasi. Gaya korporat biru-hijau, teks Bahasa Indonesia. Alt-text:</w:t>
      </w:r>
      <w:r>
        <w:rPr>
          <w:i/>
          <w:iCs/>
        </w:rPr>
        <w:t xml:space="preserve"> </w:t>
      </w:r>
      <w:r>
        <w:rPr>
          <w:i/>
          <w:iCs/>
        </w:rPr>
        <w:t xml:space="preserve">“Empat lapisan redundansi pasokan gas yang perlu diverifikasi pembeli”</w:t>
      </w:r>
      <w:r>
        <w:rPr>
          <w:i/>
          <w:iCs/>
        </w:rPr>
        <w:t xml:space="preserve">.]</w:t>
      </w:r>
    </w:p>
    <w:bookmarkEnd w:id="24"/>
    <w:bookmarkStart w:id="31" w:name="faq-pertanyaan-yang-sering-diajukan"/>
    <w:p>
      <w:pPr>
        <w:pStyle w:val="Heading2"/>
      </w:pPr>
      <w:r>
        <w:t xml:space="preserve">FAQ (Pertanyaan yang Sering Diajukan)</w:t>
      </w:r>
    </w:p>
    <w:bookmarkStart w:id="25" w:name="X8059d40fce239c01ec8a6ebbe52de3c8ff69ec0"/>
    <w:p>
      <w:pPr>
        <w:pStyle w:val="Heading3"/>
      </w:pPr>
      <w:r>
        <w:t xml:space="preserve">Bagaimana penyedia CNG menjamin pasokan tidak terputus?</w:t>
      </w:r>
    </w:p>
    <w:p>
      <w:pPr>
        <w:pStyle w:val="FirstParagraph"/>
      </w:pPr>
      <w:r>
        <w:t xml:space="preserve">Penyedia andal menggabungkan beberapa lapisan mitigasi: cadangan kapasitas di</w:t>
      </w:r>
      <w:r>
        <w:t xml:space="preserve"> </w:t>
      </w:r>
      <w:r>
        <w:rPr>
          <w:i/>
          <w:iCs/>
        </w:rPr>
        <w:t xml:space="preserve">Mother Station</w:t>
      </w:r>
      <w:r>
        <w:t xml:space="preserve">, armada pengangkut (GTM) redundan, telemetri</w:t>
      </w:r>
      <w:r>
        <w:t xml:space="preserve"> </w:t>
      </w:r>
      <w:r>
        <w:rPr>
          <w:i/>
          <w:iCs/>
        </w:rPr>
        <w:t xml:space="preserve">real-time</w:t>
      </w:r>
      <w:r>
        <w:t xml:space="preserve">, dan SLA yang jelas soal waktu respons serta kompensasi. Tidak ada penyedia yang bisa menjamin nol gangguan; yang bisa dinilai pembeli adalah seberapa cepat dan transparan penyedia merespons ketika gangguan terjadi.</w:t>
      </w:r>
    </w:p>
    <w:bookmarkEnd w:id="25"/>
    <w:bookmarkStart w:id="26" w:name="X5c59fe6525827f5b2e23b47bd7659f3cf39091e"/>
    <w:p>
      <w:pPr>
        <w:pStyle w:val="Heading3"/>
      </w:pPr>
      <w:r>
        <w:t xml:space="preserve">Apa yang terjadi kalau pasokan gas industri terganggu?</w:t>
      </w:r>
    </w:p>
    <w:p>
      <w:pPr>
        <w:pStyle w:val="FirstParagraph"/>
      </w:pPr>
      <w:r>
        <w:t xml:space="preserve">Distributor biasanya membatasi kuota atau mengenakan</w:t>
      </w:r>
      <w:r>
        <w:t xml:space="preserve"> </w:t>
      </w:r>
      <w:r>
        <w:rPr>
          <w:i/>
          <w:iCs/>
        </w:rPr>
        <w:t xml:space="preserve">surcharge</w:t>
      </w:r>
      <w:r>
        <w:t xml:space="preserve"> </w:t>
      </w:r>
      <w:r>
        <w:t xml:space="preserve">di atas harga acuan untuk pemakaian tambahan. Pada Agustus 2025, misalnya, PGN membatasi kuota HGBT industri di Jawa Barat menjadi 48% disertai</w:t>
      </w:r>
      <w:r>
        <w:t xml:space="preserve"> </w:t>
      </w:r>
      <w:r>
        <w:rPr>
          <w:i/>
          <w:iCs/>
        </w:rPr>
        <w:t xml:space="preserve">surcharge</w:t>
      </w:r>
      <w:r>
        <w:t xml:space="preserve"> </w:t>
      </w:r>
      <w:r>
        <w:t xml:space="preserve">akibat</w:t>
      </w:r>
      <w:r>
        <w:t xml:space="preserve"> </w:t>
      </w:r>
      <w:r>
        <w:rPr>
          <w:i/>
          <w:iCs/>
        </w:rPr>
        <w:t xml:space="preserve">force majeure</w:t>
      </w:r>
      <w:r>
        <w:t xml:space="preserve"> </w:t>
      </w:r>
      <w:r>
        <w:t xml:space="preserve">hulu. Dampaknya langsung terasa pada biaya produksi dan utilisasi pabrik yang turun.</w:t>
      </w:r>
    </w:p>
    <w:bookmarkEnd w:id="26"/>
    <w:bookmarkStart w:id="27" w:name="X1896ef064c5d954425a82d79aafd6fa10d80c51"/>
    <w:p>
      <w:pPr>
        <w:pStyle w:val="Heading3"/>
      </w:pPr>
      <w:r>
        <w:t xml:space="preserve">Apakah CNG bisa jadi cadangan saat pasokan pipa bermasalah?</w:t>
      </w:r>
    </w:p>
    <w:p>
      <w:pPr>
        <w:pStyle w:val="FirstParagraph"/>
      </w:pPr>
      <w:r>
        <w:t xml:space="preserve">Ya. CNG</w:t>
      </w:r>
      <w:r>
        <w:t xml:space="preserve"> </w:t>
      </w:r>
      <w:r>
        <w:rPr>
          <w:i/>
          <w:iCs/>
        </w:rPr>
        <w:t xml:space="preserve">beyond-pipeline</w:t>
      </w:r>
      <w:r>
        <w:t xml:space="preserve">, kadang disebut</w:t>
      </w:r>
      <w:r>
        <w:t xml:space="preserve"> </w:t>
      </w:r>
      <w:r>
        <w:rPr>
          <w:i/>
          <w:iCs/>
        </w:rPr>
        <w:t xml:space="preserve">virtual pipeline</w:t>
      </w:r>
      <w:r>
        <w:t xml:space="preserve">, dapat menjadi alternatif suplai karena diangkut lewat truk, bukan bergantung pada satu jalur pipa fisik. Ini relevan ketika pipa terdampak gangguan hulu. Namun kapasitasnya terbatas jumlah armada dan</w:t>
      </w:r>
      <w:r>
        <w:t xml:space="preserve"> </w:t>
      </w:r>
      <w:r>
        <w:rPr>
          <w:i/>
          <w:iCs/>
        </w:rPr>
        <w:t xml:space="preserve">Mother Station</w:t>
      </w:r>
      <w:r>
        <w:t xml:space="preserve">, sehingga lebih cocok sebagai cadangan parsial daripada pengganti penuh volume pipa.</w:t>
      </w:r>
    </w:p>
    <w:bookmarkEnd w:id="27"/>
    <w:bookmarkStart w:id="28" w:name="apa-itu-sla-dalam-kontrak-pasokan-gas"/>
    <w:p>
      <w:pPr>
        <w:pStyle w:val="Heading3"/>
      </w:pPr>
      <w:r>
        <w:t xml:space="preserve">Apa itu SLA dalam kontrak pasokan gas?</w:t>
      </w:r>
    </w:p>
    <w:p>
      <w:pPr>
        <w:pStyle w:val="FirstParagraph"/>
      </w:pPr>
      <w:r>
        <w:rPr>
          <w:i/>
          <w:iCs/>
        </w:rPr>
        <w:t xml:space="preserve">Service Level Agreement</w:t>
      </w:r>
      <w:r>
        <w:t xml:space="preserve"> </w:t>
      </w:r>
      <w:r>
        <w:t xml:space="preserve">(SLA) adalah kesepakatan tertulis yang mengatur standar layanan minimum: target waktu respons saat gangguan, mekanisme kompensasi bila standar tak terpenuhi, dan kewajiban pelaporan. Sejumlah kontrak energi industri menyebut target keandalan hingga 99,9%; ini contoh</w:t>
      </w:r>
      <w:r>
        <w:t xml:space="preserve"> </w:t>
      </w:r>
      <w:r>
        <w:rPr>
          <w:i/>
          <w:iCs/>
        </w:rPr>
        <w:t xml:space="preserve">benchmark</w:t>
      </w:r>
      <w:r>
        <w:t xml:space="preserve"> </w:t>
      </w:r>
      <w:r>
        <w:t xml:space="preserve">umum industri, bukan komitmen baku dari satu penyedia tertentu.</w:t>
      </w:r>
    </w:p>
    <w:bookmarkEnd w:id="28"/>
    <w:bookmarkStart w:id="29" w:name="X83d299402d8ad460fcca17dfac7d87a31ef6c80"/>
    <w:p>
      <w:pPr>
        <w:pStyle w:val="Heading3"/>
      </w:pPr>
      <w:r>
        <w:t xml:space="preserve">Apa itu force majeure dalam pasokan energi?</w:t>
      </w:r>
    </w:p>
    <w:p>
      <w:pPr>
        <w:pStyle w:val="FirstParagraph"/>
      </w:pPr>
      <w:r>
        <w:rPr>
          <w:i/>
          <w:iCs/>
        </w:rPr>
        <w:t xml:space="preserve">Force majeure</w:t>
      </w:r>
      <w:r>
        <w:t xml:space="preserve"> </w:t>
      </w:r>
      <w:r>
        <w:t xml:space="preserve">adalah klausul yang membebaskan salah satu pihak dari kewajiban kontrak akibat peristiwa di luar kendali wajar, seperti gangguan produksi di sisi hulu. Pada 15 Agustus 2025, PGN menyatakan kondisi darurat pasokan (surat No. 048800.PENG/PP/PDO/2025) yang berujung pembatasan kuota gas ke pelanggan industri di Jawa Barat dan sebagian Sumatra.</w:t>
      </w:r>
    </w:p>
    <w:bookmarkEnd w:id="29"/>
    <w:bookmarkStart w:id="30" w:name="X86b77781921d47a9fa9acc5b469e7da98de01cb"/>
    <w:p>
      <w:pPr>
        <w:pStyle w:val="Heading3"/>
      </w:pPr>
      <w:r>
        <w:t xml:space="preserve">Apa bedanya keandalan pasokan dan standar keselamatan gas?</w:t>
      </w:r>
    </w:p>
    <w:p>
      <w:pPr>
        <w:pStyle w:val="FirstParagraph"/>
      </w:pPr>
      <w:r>
        <w:t xml:space="preserve">Standar keselamatan (misalnya ISO 45001) mengatur bagaimana gas ditangani secara aman agar tidak membahayakan pekerja atau lingkungan. Keandalan pasokan dari sisi</w:t>
      </w:r>
      <w:r>
        <w:t xml:space="preserve"> </w:t>
      </w:r>
      <w:r>
        <w:rPr>
          <w:i/>
          <w:iCs/>
        </w:rPr>
        <w:t xml:space="preserve">business continuity</w:t>
      </w:r>
      <w:r>
        <w:t xml:space="preserve"> </w:t>
      </w:r>
      <w:r>
        <w:t xml:space="preserve">mengukur apakah pasokan cukup konsisten menjaga lini produksi tetap berjalan tanpa henti mendadak, termasuk mitigasi risiko</w:t>
      </w:r>
      <w:r>
        <w:t xml:space="preserve"> </w:t>
      </w:r>
      <w:r>
        <w:rPr>
          <w:i/>
          <w:iCs/>
        </w:rPr>
        <w:t xml:space="preserve">force majeure</w:t>
      </w:r>
      <w:r>
        <w:t xml:space="preserve">, kuota, dan gangguan distribusi. Keduanya penting, tetapi menjawab pertanyaan berbeda.</w:t>
      </w:r>
    </w:p>
    <w:bookmarkEnd w:id="30"/>
    <w:bookmarkEnd w:id="31"/>
    <w:bookmarkStart w:id="32" w:name="kesimpulan"/>
    <w:p>
      <w:pPr>
        <w:pStyle w:val="Heading2"/>
      </w:pPr>
      <w:r>
        <w:t xml:space="preserve">Kesimpulan</w:t>
      </w:r>
    </w:p>
    <w:p>
      <w:pPr>
        <w:pStyle w:val="FirstParagraph"/>
      </w:pPr>
      <w:r>
        <w:t xml:space="preserve">Krisis pasokan 2025–2026 menegaskan bahwa keandalan bukan slogan pemasaran, melainkan lapisan yang bisa diperiksa: sumber cadangan, armada redundan, telemetri, dan SLA yang jujur. Pembeli yang bijak menilai calon penyedia dari transparansi dan rencana cadangannya, bukan dari janji nol gangguan yang mustahil. Di sinilah posisi PGN Gagas relevan. Sebagai anak usaha PGN yang menjadi bagian Subholding Gas Pertamina, ia menyalurkan gas bumi ke wilayah yang belum terjangkau jaringan pipa lewat solusi CNG, moda yang justru berguna ketika jalur pipa sedang tertekan. Untuk menyusun rencana kontinuitas pasokan, mulailah dari pertanyaan yang tepat kepada penyedia Anda.</w:t>
      </w:r>
    </w:p>
    <w:p>
      <w:pPr>
        <w:pStyle w:val="BodyText"/>
      </w:pPr>
      <w:r>
        <w:t xml:space="preserve">Untuk mendiskusikan opsi pasokan CNG sebagai bagian dari rencana kelangsungan bisnis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1"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2026-07-08T03:07:45Z</dcterms:created>
  <dcterms:modified xsi:type="dcterms:W3CDTF">2026-07-08T03:07:45Z</dcterms:modified>
</cp:coreProperties>
</file>

<file path=docProps/custom.xml><?xml version="1.0" encoding="utf-8"?>
<Properties xmlns="http://schemas.openxmlformats.org/officeDocument/2006/custom-properties" xmlns:vt="http://schemas.openxmlformats.org/officeDocument/2006/docPropsVTypes"/>
</file>