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"Peran LNG dalam Transisi Energi Indonesia: Jembatan atau Jebakan?"</w:t>
      </w:r>
      <w:r>
        <w:br/>
      </w:r>
      <w:r>
        <w:rPr>
          <w:rStyle w:val="FunctionTok"/>
        </w:rPr>
        <w:t xml:space="preserve">meta_title</w:t>
      </w:r>
      <w:r>
        <w:rPr>
          <w:rStyle w:val="KeywordTok"/>
        </w:rPr>
        <w:t xml:space="preserve">:</w:t>
      </w:r>
      <w:r>
        <w:rPr>
          <w:rStyle w:val="AttributeTok"/>
        </w:rPr>
        <w:t xml:space="preserve"> </w:t>
      </w:r>
      <w:r>
        <w:rPr>
          <w:rStyle w:val="StringTok"/>
        </w:rPr>
        <w:t xml:space="preserve">"LNG dalam Transisi Energi: Jembatan atau Jebakan?"</w:t>
      </w:r>
      <w:r>
        <w:br/>
      </w:r>
      <w:r>
        <w:rPr>
          <w:rStyle w:val="FunctionTok"/>
        </w:rPr>
        <w:t xml:space="preserve">meta_description</w:t>
      </w:r>
      <w:r>
        <w:rPr>
          <w:rStyle w:val="KeywordTok"/>
        </w:rPr>
        <w:t xml:space="preserve">:</w:t>
      </w:r>
      <w:r>
        <w:rPr>
          <w:rStyle w:val="AttributeTok"/>
        </w:rPr>
        <w:t xml:space="preserve"> </w:t>
      </w:r>
      <w:r>
        <w:rPr>
          <w:rStyle w:val="StringTok"/>
        </w:rPr>
        <w:t xml:space="preserve">"Peran LNG dalam transisi energi Indonesia dibedah dua sisi: data emisi IEA vs studi Cornell, isu metana slip, carbon lock-in, dan kebijakan ESDM terbaru."</w:t>
      </w:r>
      <w:r>
        <w:br/>
      </w:r>
      <w:r>
        <w:rPr>
          <w:rStyle w:val="FunctionTok"/>
        </w:rPr>
        <w:t xml:space="preserve">slug</w:t>
      </w:r>
      <w:r>
        <w:rPr>
          <w:rStyle w:val="KeywordTok"/>
        </w:rPr>
        <w:t xml:space="preserve">:</w:t>
      </w:r>
      <w:r>
        <w:rPr>
          <w:rStyle w:val="AttributeTok"/>
        </w:rPr>
        <w:t xml:space="preserve"> </w:t>
      </w:r>
      <w:r>
        <w:rPr>
          <w:rStyle w:val="StringTok"/>
        </w:rPr>
        <w:t xml:space="preserve">"peran-lng-transisi-energi-indonesia"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"peran LNG dalam transisi energi"</w:t>
      </w:r>
      <w:r>
        <w:br/>
      </w:r>
      <w:r>
        <w:rPr>
          <w:rStyle w:val="AttributeTok"/>
        </w:rPr>
        <w:t xml:space="preserve">  </w:t>
      </w:r>
      <w:r>
        <w:rPr>
          <w:rStyle w:val="KeywordTok"/>
        </w:rPr>
        <w:t xml:space="preserve">-</w:t>
      </w:r>
      <w:r>
        <w:rPr>
          <w:rStyle w:val="AttributeTok"/>
        </w:rPr>
        <w:t xml:space="preserve"> </w:t>
      </w:r>
      <w:r>
        <w:rPr>
          <w:rStyle w:val="StringTok"/>
        </w:rPr>
        <w:t xml:space="preserve">"bahan bakar jembatan (bridge fuel)"</w:t>
      </w:r>
      <w:r>
        <w:br/>
      </w:r>
      <w:r>
        <w:rPr>
          <w:rStyle w:val="AttributeTok"/>
        </w:rPr>
        <w:t xml:space="preserve">  </w:t>
      </w:r>
      <w:r>
        <w:rPr>
          <w:rStyle w:val="KeywordTok"/>
        </w:rPr>
        <w:t xml:space="preserve">-</w:t>
      </w:r>
      <w:r>
        <w:rPr>
          <w:rStyle w:val="AttributeTok"/>
        </w:rPr>
        <w:t xml:space="preserve"> </w:t>
      </w:r>
      <w:r>
        <w:rPr>
          <w:rStyle w:val="StringTok"/>
        </w:rPr>
        <w:t xml:space="preserve">"dekarbonisasi industri"</w:t>
      </w:r>
      <w:r>
        <w:br/>
      </w:r>
      <w:r>
        <w:rPr>
          <w:rStyle w:val="AttributeTok"/>
        </w:rPr>
        <w:t xml:space="preserve">  </w:t>
      </w:r>
      <w:r>
        <w:rPr>
          <w:rStyle w:val="KeywordTok"/>
        </w:rPr>
        <w:t xml:space="preserve">-</w:t>
      </w:r>
      <w:r>
        <w:rPr>
          <w:rStyle w:val="AttributeTok"/>
        </w:rPr>
        <w:t xml:space="preserve"> </w:t>
      </w:r>
      <w:r>
        <w:rPr>
          <w:rStyle w:val="StringTok"/>
        </w:rPr>
        <w:t xml:space="preserve">"bauran energi nasional"</w:t>
      </w:r>
      <w:r>
        <w:br/>
      </w:r>
      <w:r>
        <w:rPr>
          <w:rStyle w:val="AttributeTok"/>
        </w:rPr>
        <w:t xml:space="preserve">  </w:t>
      </w:r>
      <w:r>
        <w:rPr>
          <w:rStyle w:val="KeywordTok"/>
        </w:rPr>
        <w:t xml:space="preserve">-</w:t>
      </w:r>
      <w:r>
        <w:rPr>
          <w:rStyle w:val="AttributeTok"/>
        </w:rPr>
        <w:t xml:space="preserve"> </w:t>
      </w:r>
      <w:r>
        <w:rPr>
          <w:rStyle w:val="StringTok"/>
        </w:rPr>
        <w:t xml:space="preserve">"metana slip"</w:t>
      </w:r>
      <w:r>
        <w:br/>
      </w:r>
      <w:r>
        <w:rPr>
          <w:rStyle w:val="AttributeTok"/>
        </w:rPr>
        <w:t xml:space="preserve">  </w:t>
      </w:r>
      <w:r>
        <w:rPr>
          <w:rStyle w:val="KeywordTok"/>
        </w:rPr>
        <w:t xml:space="preserve">-</w:t>
      </w:r>
      <w:r>
        <w:rPr>
          <w:rStyle w:val="AttributeTok"/>
        </w:rPr>
        <w:t xml:space="preserve"> </w:t>
      </w:r>
      <w:r>
        <w:rPr>
          <w:rStyle w:val="StringTok"/>
        </w:rPr>
        <w:t xml:space="preserve">"carbon lock-in"</w:t>
      </w:r>
      <w:r>
        <w:br/>
      </w:r>
      <w:r>
        <w:rPr>
          <w:rStyle w:val="AttributeTok"/>
        </w:rPr>
        <w:t xml:space="preserve">  </w:t>
      </w:r>
      <w:r>
        <w:rPr>
          <w:rStyle w:val="KeywordTok"/>
        </w:rPr>
        <w:t xml:space="preserve">-</w:t>
      </w:r>
      <w:r>
        <w:rPr>
          <w:rStyle w:val="AttributeTok"/>
        </w:rPr>
        <w:t xml:space="preserve"> </w:t>
      </w:r>
      <w:r>
        <w:rPr>
          <w:rStyle w:val="StringTok"/>
        </w:rPr>
        <w:t xml:space="preserve">"Net Zero Emission 2060"</w:t>
      </w:r>
      <w:r>
        <w:br/>
      </w:r>
      <w:r>
        <w:rPr>
          <w:rStyle w:val="AttributeTok"/>
        </w:rPr>
        <w:t xml:space="preserve">  </w:t>
      </w:r>
      <w:r>
        <w:rPr>
          <w:rStyle w:val="KeywordTok"/>
        </w:rPr>
        <w:t xml:space="preserve">-</w:t>
      </w:r>
      <w:r>
        <w:rPr>
          <w:rStyle w:val="AttributeTok"/>
        </w:rPr>
        <w:t xml:space="preserve"> </w:t>
      </w:r>
      <w:r>
        <w:rPr>
          <w:rStyle w:val="StringTok"/>
        </w:rPr>
        <w:t xml:space="preserve">"base load energi terbarukan"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sebagai energi transisi"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"penyaluran gas bumi ke industri di luar pipa"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"https://www.esdm.go.id/id/media-center/arsip-berita/capaian-positif-tahun-2025-negara-hadir-penuhi-kebutuhan-energi-masyarakat"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"69% produksi gas 2025 dialokasikan untuk domestik tanpa impor"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"https://www.iea.org/reports/assessing-emissions-from-lng-supply-and-abatement-options"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"Emisi rantai pasok LNG global ~350 Mt CO2-eq/tahun, 30% berupa metana"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"https://scijournals.onlinelibrary.wiley.com/doi/10.1002/ese3.1934"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Cornell: jejak LNG AS 33% lebih tinggi dari batu bara pada GWP20"</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"perusahaan-lng-indonesia-05"</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1540</w:t>
      </w:r>
      <w:r>
        <w:br/>
      </w:r>
      <w:r>
        <w:rPr>
          <w:rStyle w:val="FunctionTok"/>
        </w:rPr>
        <w:t xml:space="preserve">dateModified</w:t>
      </w:r>
      <w:r>
        <w:rPr>
          <w:rStyle w:val="KeywordTok"/>
        </w:rPr>
        <w:t xml:space="preserve">:</w:t>
      </w:r>
      <w:r>
        <w:rPr>
          <w:rStyle w:val="AttributeTok"/>
        </w:rPr>
        <w:t xml:space="preserve"> </w:t>
      </w:r>
      <w:r>
        <w:rPr>
          <w:rStyle w:val="StringTok"/>
        </w:rPr>
        <w:t xml:space="preserve">"2026-07-08"</w:t>
      </w:r>
    </w:p>
    <w:p>
      <w:r>
        <w:pict>
          <v:rect style="width:0;height:1.5pt" o:hralign="center" o:hrstd="t" o:hr="t"/>
        </w:pict>
      </w:r>
    </w:p>
    <w:bookmarkEnd w:id="16"/>
    <w:bookmarkStart w:id="34" w:name="Xddcf7081b6ab1f88e60341c7c802aa6588709f1"/>
    <w:p>
      <w:pPr>
        <w:pStyle w:val="Heading1"/>
      </w:pPr>
      <w:r>
        <w:t xml:space="preserve">Peran LNG dalam Transisi Energi Indonesia: Jembatan atau Jebakan?</w:t>
      </w:r>
    </w:p>
    <w:p>
      <w:pPr>
        <w:pStyle w:val="FirstParagraph"/>
      </w:pPr>
      <w:r>
        <w:t xml:space="preserve">Di hampir setiap forum energi, gas alam disebut</w:t>
      </w:r>
      <w:r>
        <w:t xml:space="preserve"> </w:t>
      </w:r>
      <w:r>
        <w:t xml:space="preserve">“jembatan”</w:t>
      </w:r>
      <w:r>
        <w:t xml:space="preserve"> </w:t>
      </w:r>
      <w:r>
        <w:t xml:space="preserve">menuju energi bersih, tapi label itu makin diperdebatkan. Sebagian menyebut LNG (</w:t>
      </w:r>
      <w:r>
        <w:rPr>
          <w:i/>
          <w:iCs/>
        </w:rPr>
        <w:t xml:space="preserve">Liquefied Natural Gas</w:t>
      </w:r>
      <w:r>
        <w:t xml:space="preserve">) sebagai solusi pragmatis pengganti batu bara sambil energi terbarukan matang; sebagian lain memperingatkan risiko</w:t>
      </w:r>
      <w:r>
        <w:t xml:space="preserve"> </w:t>
      </w:r>
      <w:r>
        <w:rPr>
          <w:i/>
          <w:iCs/>
        </w:rPr>
        <w:t xml:space="preserve">carbon lock-in</w:t>
      </w:r>
      <w:r>
        <w:t xml:space="preserve"> </w:t>
      </w:r>
      <w:r>
        <w:t xml:space="preserve">dan metana yang justru menghambat dekarbonisasi. Artikel ini membedah peran</w:t>
      </w:r>
      <w:r>
        <w:t xml:space="preserve"> </w:t>
      </w:r>
      <w:hyperlink r:id="rId17">
        <w:r>
          <w:rPr>
            <w:rStyle w:val="Hyperlink"/>
          </w:rPr>
          <w:t xml:space="preserve">LNG di Indonesia</w:t>
        </w:r>
      </w:hyperlink>
      <w:r>
        <w:t xml:space="preserve"> </w:t>
      </w:r>
      <w:r>
        <w:t xml:space="preserve">dari dua sisi secara jujur: kapan ia masuk akal sebagai jembatan, dan kapan ia berisiko jadi jebakan, bersandar pada data kebijakan dan studi terkini alih-alih narasi satu arah.</w:t>
      </w:r>
    </w:p>
    <w:p>
      <w:pPr>
        <w:pStyle w:val="BlockText"/>
      </w:pPr>
      <w:r>
        <w:rPr>
          <w:b/>
          <w:bCs/>
        </w:rPr>
        <w:t xml:space="preserve">Ringkas:</w:t>
      </w:r>
      <w:r>
        <w:t xml:space="preserve"> </w:t>
      </w:r>
      <w:r>
        <w:t xml:space="preserve">Bahan bakar jembatan (</w:t>
      </w:r>
      <w:r>
        <w:rPr>
          <w:i/>
          <w:iCs/>
        </w:rPr>
        <w:t xml:space="preserve">bridge fuel</w:t>
      </w:r>
      <w:r>
        <w:t xml:space="preserve">) adalah sumber energi fosil beremisi relatif lebih rendah, seperti gas bumi atau LNG, yang dipakai sementara menggantikan batu bara atau BBM sambil kapasitas energi terbarukan dibangun. Kementerian ESDM menilai gas bumi tetap berperan penting dalam transisi energi Asia Pasifik karena faktor emisinya lebih rendah dan mudah diangkut ke wilayah tanpa pipa.</w:t>
      </w:r>
    </w:p>
    <w:p>
      <w:pPr>
        <w:pStyle w:val="FirstParagraph"/>
      </w:pPr>
      <w:r>
        <w:rPr>
          <w:i/>
          <w:iCs/>
        </w:rPr>
        <w:t xml:space="preserve">[Image 01: Diagram rantai pasok LNG dari sumur hingga pelanggan — alur produksi, likuifaksi, transportasi (kapal/ISO tank), regasifikasi/LNG Hub, lalu pengguna — dengan penanda merah di titik rawan kebocoran metana (sumur, kompresor, katup, kapal). Gaya infografik korporat biru-abu, teks Bahasa Indonesia.]</w:t>
      </w:r>
    </w:p>
    <w:bookmarkStart w:id="18" w:name="X0533cc8bbbbd65704e18c2430b29fcdba38a37f"/>
    <w:p>
      <w:pPr>
        <w:pStyle w:val="Heading2"/>
      </w:pPr>
      <w:r>
        <w:t xml:space="preserve">Apa Itu</w:t>
      </w:r>
      <w:r>
        <w:t xml:space="preserve"> </w:t>
      </w:r>
      <w:r>
        <w:t xml:space="preserve">“Bahan Bakar Jembatan”</w:t>
      </w:r>
      <w:r>
        <w:t xml:space="preserve"> </w:t>
      </w:r>
      <w:r>
        <w:t xml:space="preserve">dan di Mana Posisi LNG?</w:t>
      </w:r>
    </w:p>
    <w:p>
      <w:pPr>
        <w:pStyle w:val="FirstParagraph"/>
      </w:pPr>
      <w:r>
        <w:t xml:space="preserve">Bahan bakar jembatan adalah energi fosil transisi yang dipakai untuk memangkas emisi lebih cepat dibanding menunggu energi terbarukan skala penuh. LNG masuk kategori ini karena, saat dibakar, gas metana menghasilkan CO2, SOx, dan partikulat lebih rendah dari batu bara. Sifat fisiknya juga praktis: dicairkan pada -162°C, volumenya menyusut hingga sekitar 1/600.</w:t>
      </w:r>
    </w:p>
    <w:p>
      <w:pPr>
        <w:pStyle w:val="BodyText"/>
      </w:pPr>
      <w:r>
        <w:t xml:space="preserve">Penyusutan volume itulah yang membuat LNG unik. Gas yang biasanya harus mengalir lewat pipa kini bisa dikapalkan lintas pulau dalam bentuk cair, lalu diregasifikasi di titik tujuan. Inilah dasar teknis mengapa LNG kerap disebut instrumen pemerataan energi ke daerah tanpa pipa.</w:t>
      </w:r>
    </w:p>
    <w:p>
      <w:pPr>
        <w:pStyle w:val="BodyText"/>
      </w:pPr>
      <w:r>
        <w:t xml:space="preserve">Perlu dibedakan dari sepupunya. LNG dicairkan untuk jarak jauh; CNG (</w:t>
      </w:r>
      <w:r>
        <w:rPr>
          <w:i/>
          <w:iCs/>
        </w:rPr>
        <w:t xml:space="preserve">Compressed Natural Gas</w:t>
      </w:r>
      <w:r>
        <w:t xml:space="preserve">) hanya dikompresi dan cocok untuk radius lebih dekat. Keduanya membawa gas bumi ke luar jaringan pipa dengan moda berbeda, dan keduanya kerap tertukar dalam diskusi bauran energi.</w:t>
      </w:r>
    </w:p>
    <w:bookmarkEnd w:id="18"/>
    <w:bookmarkStart w:id="20" w:name="X4234d1f0e0ae6b50e22b03e9d762f6ccd2eccd5"/>
    <w:p>
      <w:pPr>
        <w:pStyle w:val="Heading2"/>
      </w:pPr>
      <w:r>
        <w:t xml:space="preserve">Mengapa LNG Berperan dalam Transisi Energi Indonesia</w:t>
      </w:r>
    </w:p>
    <w:p>
      <w:pPr>
        <w:pStyle w:val="FirstParagraph"/>
      </w:pPr>
      <w:r>
        <w:t xml:space="preserve">LNG berperan dalam transisi energi Indonesia karena tiga hal: menggantikan batu bara dan solar yang lebih kotor, menyediakan pasokan yang bisa diandalkan (</w:t>
      </w:r>
      <w:r>
        <w:rPr>
          <w:i/>
          <w:iCs/>
        </w:rPr>
        <w:t xml:space="preserve">base load</w:t>
      </w:r>
      <w:r>
        <w:t xml:space="preserve">) untuk mendampingi energi terbarukan yang intermiten, dan menjangkau daerah tanpa pipa. Pada 2025, 69% dari 5.600 BBTUD produksi gas nasional dialokasikan untuk domestik.</w:t>
      </w:r>
    </w:p>
    <w:p>
      <w:pPr>
        <w:pStyle w:val="BodyText"/>
      </w:pPr>
      <w:r>
        <w:t xml:space="preserve">Angka domestik itu penting. Menurut Kementerian ESDM, dari total produksi 5.600 BBTUD, sebanyak 3.908 BBTUD (69%) diarahkan ke kebutuhan dalam negeri (kelistrikan, industri, jaringan gas rumah tangga) dan dipasok tanpa impor (Kementerian ESDM, 2025); sisanya 31% untuk ekspor.</w:t>
      </w:r>
    </w:p>
    <w:p>
      <w:pPr>
        <w:pStyle w:val="BodyText"/>
      </w:pPr>
      <w:r>
        <w:t xml:space="preserve">Beberapa argumen yang mendasari peran LNG:</w:t>
      </w:r>
    </w:p>
    <w:p>
      <w:pPr>
        <w:pStyle w:val="Compact"/>
        <w:numPr>
          <w:ilvl w:val="0"/>
          <w:numId w:val="1001"/>
        </w:numPr>
      </w:pPr>
      <w:r>
        <w:rPr>
          <w:b/>
          <w:bCs/>
        </w:rPr>
        <w:t xml:space="preserve">Pengganti bahan bakar lebih kotor.</w:t>
      </w:r>
      <w:r>
        <w:t xml:space="preserve"> </w:t>
      </w:r>
      <w:r>
        <w:t xml:space="preserve">Di pembangkit dan pabrik, gas menggeser batu bara serta solar yang emisi dan partikulatnya lebih tinggi.</w:t>
      </w:r>
    </w:p>
    <w:p>
      <w:pPr>
        <w:pStyle w:val="Compact"/>
        <w:numPr>
          <w:ilvl w:val="0"/>
          <w:numId w:val="1001"/>
        </w:numPr>
      </w:pPr>
      <w:r>
        <w:rPr>
          <w:b/>
          <w:bCs/>
        </w:rPr>
        <w:t xml:space="preserve">Pendamping energi terbarukan.</w:t>
      </w:r>
      <w:r>
        <w:t xml:space="preserve"> </w:t>
      </w:r>
      <w:r>
        <w:t xml:space="preserve">Surya dan angin bersifat intermiten; pembangkit gas fleksibel bisa mengisi celah saat matahari redup atau angin melemah.</w:t>
      </w:r>
    </w:p>
    <w:p>
      <w:pPr>
        <w:pStyle w:val="Compact"/>
        <w:numPr>
          <w:ilvl w:val="0"/>
          <w:numId w:val="1001"/>
        </w:numPr>
      </w:pPr>
      <w:r>
        <w:rPr>
          <w:b/>
          <w:bCs/>
        </w:rPr>
        <w:t xml:space="preserve">Pemerataan ke daerah tanpa pipa.</w:t>
      </w:r>
      <w:r>
        <w:t xml:space="preserve"> </w:t>
      </w:r>
      <w:r>
        <w:t xml:space="preserve">Lewat</w:t>
      </w:r>
      <w:r>
        <w:t xml:space="preserve"> </w:t>
      </w:r>
      <w:r>
        <w:rPr>
          <w:i/>
          <w:iCs/>
        </w:rPr>
        <w:t xml:space="preserve">virtual pipeline</w:t>
      </w:r>
      <w:r>
        <w:t xml:space="preserve"> </w:t>
      </w:r>
      <w:r>
        <w:t xml:space="preserve">(LNG Hub, ISO tank, moda darat), gas bumi menjangkau wilayah yang belum dilalui jaringan pipa, sesuatu yang sulit dicapai infrastruktur pipa konvensional dalam waktu singkat.</w:t>
      </w:r>
    </w:p>
    <w:p>
      <w:pPr>
        <w:pStyle w:val="FirstParagraph"/>
      </w:pPr>
      <w:r>
        <w:t xml:space="preserve">Salah satu contoh konkret model beyond-pipeline ini adalah</w:t>
      </w:r>
      <w:r>
        <w:t xml:space="preserve"> </w:t>
      </w:r>
      <w:hyperlink r:id="rId19">
        <w:r>
          <w:rPr>
            <w:rStyle w:val="Hyperlink"/>
          </w:rPr>
          <w:t xml:space="preserve">penyaluran gas bumi ke industri di luar pipa</w:t>
        </w:r>
      </w:hyperlink>
      <w:r>
        <w:t xml:space="preserve">, yang membumikan narasi pemerataan energi dari tataran kebijakan ke lantai produksi.</w:t>
      </w:r>
    </w:p>
    <w:bookmarkEnd w:id="20"/>
    <w:bookmarkStart w:id="22" w:name="apakah-lng-benar-benar-ramah-lingkungan"/>
    <w:p>
      <w:pPr>
        <w:pStyle w:val="Heading2"/>
      </w:pPr>
      <w:r>
        <w:t xml:space="preserve">Apakah LNG Benar-Benar Ramah Lingkungan?</w:t>
      </w:r>
    </w:p>
    <w:p>
      <w:pPr>
        <w:pStyle w:val="FirstParagraph"/>
      </w:pPr>
      <w:r>
        <w:t xml:space="preserve">Jawaban jujurnya: bergantung pada cara menghitungnya. Saat dibakar langsung, LNG memang lebih rendah CO2, SOx, dan partikulat dibanding batu bara. IEA mencatat lebih dari 99% LNG yang dikonsumsi pada 2024 punya emisi siklus-hidup lebih rendah dari batu bara: rata-rata global sekitar 25% lebih rendah, hingga 47% untuk rute tertentu menurut S&amp;P Global (2025). Tetapi ada catatan besar.</w:t>
      </w:r>
    </w:p>
    <w:p>
      <w:pPr>
        <w:pStyle w:val="BodyText"/>
      </w:pPr>
      <w:r>
        <w:t xml:space="preserve">Catatan itu bernama</w:t>
      </w:r>
      <w:r>
        <w:t xml:space="preserve"> </w:t>
      </w:r>
      <w:r>
        <w:rPr>
          <w:b/>
          <w:bCs/>
        </w:rPr>
        <w:t xml:space="preserve">metana slip</w:t>
      </w:r>
      <w:r>
        <w:t xml:space="preserve">, yaitu gas metana yang lolos tanpa terbakar sepanjang rantai produksi, likuifaksi, transportasi, hingga pemakaian.</w:t>
      </w:r>
      <w:r>
        <w:t xml:space="preserve"> </w:t>
      </w:r>
      <w:hyperlink r:id="rId21">
        <w:r>
          <w:rPr>
            <w:rStyle w:val="Hyperlink"/>
          </w:rPr>
          <w:t xml:space="preserve">Analisis IEA</w:t>
        </w:r>
      </w:hyperlink>
      <w:r>
        <w:t xml:space="preserve"> </w:t>
      </w:r>
      <w:r>
        <w:t xml:space="preserve">memperkirakan emisi rantai pasok LNG global sekitar 350 juta ton CO2-ekuivalen per tahun, dan sekitar 30% di antaranya berupa metana yang lolos ke atmosfer (IEA, Juni 2025).</w:t>
      </w:r>
    </w:p>
    <w:p>
      <w:pPr>
        <w:pStyle w:val="BodyText"/>
      </w:pPr>
      <w:r>
        <w:t xml:space="preserve">Mengapa kebocoran kecil jadi persoalan besar? Karena metana jauh lebih poten dari CO2 dalam jangka pendek. Menurut IPCC AR6, potensi pemanasan global (</w:t>
      </w:r>
      <w:r>
        <w:rPr>
          <w:i/>
          <w:iCs/>
        </w:rPr>
        <w:t xml:space="preserve">GWP</w:t>
      </w:r>
      <w:r>
        <w:t xml:space="preserve">) metana fosil mencapai 81 pada horison 20 tahun, dibanding 27 pada horison 100 tahun. Angka yang Anda pilih akan mengubah kesimpulan.</w:t>
      </w:r>
    </w:p>
    <w:p>
      <w:pPr>
        <w:pStyle w:val="BodyText"/>
      </w:pPr>
      <w:r>
        <w:t xml:space="preserve">Di sinilah muncul temuan yang mengguncang narasi</w:t>
      </w:r>
      <w:r>
        <w:t xml:space="preserve"> </w:t>
      </w:r>
      <w:r>
        <w:t xml:space="preserve">“gas lebih bersih”</w:t>
      </w:r>
      <w:r>
        <w:t xml:space="preserve">. Studi Robert Howarth dari Cornell University (2024), dipublikasikan peer-review di</w:t>
      </w:r>
      <w:r>
        <w:t xml:space="preserve"> </w:t>
      </w:r>
      <w:r>
        <w:rPr>
          <w:i/>
          <w:iCs/>
        </w:rPr>
        <w:t xml:space="preserve">Energy Science &amp; Engineering</w:t>
      </w:r>
      <w:r>
        <w:t xml:space="preserve">, menyimpulkan jejak gas rumah kaca LNG ekspor Amerika Serikat justru</w:t>
      </w:r>
      <w:r>
        <w:t xml:space="preserve"> </w:t>
      </w:r>
      <w:r>
        <w:rPr>
          <w:b/>
          <w:bCs/>
        </w:rPr>
        <w:t xml:space="preserve">33% lebih tinggi dari batu bara</w:t>
      </w:r>
      <w:r>
        <w:t xml:space="preserve"> </w:t>
      </w:r>
      <w:r>
        <w:t xml:space="preserve">bila metana dihitung penuh dengan GWP20. Perlu digarisbawahi: studi ini spesifik pada rute ekspor LNG AS dan memakai metodologi GWP20 tertentu, bukan konsensus universal untuk semua LNG. Namun temuannya menempatkan klaim</w:t>
      </w:r>
      <w:r>
        <w:t xml:space="preserve"> </w:t>
      </w:r>
      <w:r>
        <w:t xml:space="preserve">“energi bersih tanpa syarat”</w:t>
      </w:r>
      <w:r>
        <w:t xml:space="preserve"> </w:t>
      </w:r>
      <w:r>
        <w:t xml:space="preserve">pada posisi yang memang masih diperdebatkan, bukan sudah selesai.</w:t>
      </w:r>
    </w:p>
    <w:p>
      <w:pPr>
        <w:pStyle w:val="BodyText"/>
      </w:pPr>
      <w:r>
        <w:rPr>
          <w:i/>
          <w:iCs/>
        </w:rPr>
        <w:t xml:space="preserve">[Image 02: Infografik tabel dua sisi</w:t>
      </w:r>
      <w:r>
        <w:rPr>
          <w:i/>
          <w:iCs/>
        </w:rPr>
        <w:t xml:space="preserve"> </w:t>
      </w:r>
      <w:r>
        <w:rPr>
          <w:i/>
          <w:iCs/>
        </w:rPr>
        <w:t xml:space="preserve">“Jembatan vs Jebakan”</w:t>
      </w:r>
      <w:r>
        <w:rPr>
          <w:i/>
          <w:iCs/>
        </w:rPr>
        <w:t xml:space="preserve"> </w:t>
      </w:r>
      <w:r>
        <w:rPr>
          <w:i/>
          <w:iCs/>
        </w:rPr>
        <w:t xml:space="preserve">— kolom kiri hijau berisi argumen pendukung (emisi lebih rendah, base load, pemerataan), kolom kanan oranye berisi argumen kritis (metana, carbon lock-in, stranded asset). Dirancang screenshot-friendly untuk dibagikan di forum kebijakan energi, teks Bahasa Indonesia.]</w:t>
      </w:r>
    </w:p>
    <w:bookmarkEnd w:id="22"/>
    <w:bookmarkStart w:id="23" w:name="X9a2dee359d17ad460d310ef0b438ce2d0090170"/>
    <w:p>
      <w:pPr>
        <w:pStyle w:val="Heading2"/>
      </w:pPr>
      <w:r>
        <w:t xml:space="preserve">LNG: Jembatan atau Jebakan? Menimbang Dua Sisi</w:t>
      </w:r>
    </w:p>
    <w:p>
      <w:pPr>
        <w:pStyle w:val="FirstParagraph"/>
      </w:pPr>
      <w:r>
        <w:t xml:space="preserve">LNG bisa jadi jembatan bila menggantikan bahan bakar lebih kotor dan mengisi celah keandalan sementara; bisa jadi jebakan bila mengunci infrastruktur fosil berumur panjang dan menunda energi terbarukan. Kedua sisi didukung data kredibel yang saling bertentangan, dan tabel berikut merangkumnya tanpa memihak.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Argumen</w:t>
            </w:r>
            <w:r>
              <w:t xml:space="preserve"> </w:t>
            </w:r>
            <w:r>
              <w:t xml:space="preserve">“Jembatan”</w:t>
            </w:r>
          </w:p>
        </w:tc>
        <w:tc>
          <w:tcPr/>
          <w:p>
            <w:pPr>
              <w:pStyle w:val="Compact"/>
            </w:pPr>
            <w:r>
              <w:t xml:space="preserve">Argumen</w:t>
            </w:r>
            <w:r>
              <w:t xml:space="preserve"> </w:t>
            </w:r>
            <w:r>
              <w:t xml:space="preserve">“Jebakan”</w:t>
            </w:r>
          </w:p>
        </w:tc>
      </w:tr>
      <w:tr>
        <w:tc>
          <w:tcPr/>
          <w:p>
            <w:pPr>
              <w:pStyle w:val="Compact"/>
            </w:pPr>
            <w:r>
              <w:t xml:space="preserve">Emisi vs batu bara</w:t>
            </w:r>
          </w:p>
        </w:tc>
        <w:tc>
          <w:tcPr/>
          <w:p>
            <w:pPr>
              <w:pStyle w:val="Compact"/>
            </w:pPr>
            <w:r>
              <w:t xml:space="preserve">IEA/S&amp;P: 25–47% lebih rendah (siklus-hidup)</w:t>
            </w:r>
          </w:p>
        </w:tc>
        <w:tc>
          <w:tcPr/>
          <w:p>
            <w:pPr>
              <w:pStyle w:val="Compact"/>
            </w:pPr>
            <w:r>
              <w:t xml:space="preserve">Cornell/Howarth (2024): 33% lebih tinggi pada GWP20, metana penuh</w:t>
            </w:r>
          </w:p>
        </w:tc>
      </w:tr>
      <w:tr>
        <w:tc>
          <w:tcPr/>
          <w:p>
            <w:pPr>
              <w:pStyle w:val="Compact"/>
            </w:pPr>
            <w:r>
              <w:t xml:space="preserve">Keandalan pasokan</w:t>
            </w:r>
          </w:p>
        </w:tc>
        <w:tc>
          <w:tcPr/>
          <w:p>
            <w:pPr>
              <w:pStyle w:val="Compact"/>
            </w:pPr>
            <w:r>
              <w:rPr>
                <w:i/>
                <w:iCs/>
              </w:rPr>
              <w:t xml:space="preserve">Base load</w:t>
            </w:r>
            <w:r>
              <w:t xml:space="preserve"> </w:t>
            </w:r>
            <w:r>
              <w:t xml:space="preserve">fleksibel mendampingi EBT intermiten</w:t>
            </w:r>
          </w:p>
        </w:tc>
        <w:tc>
          <w:tcPr/>
          <w:p>
            <w:pPr>
              <w:pStyle w:val="Compact"/>
            </w:pPr>
            <w:r>
              <w:t xml:space="preserve">Investasi besar berisiko menciptakan ketergantungan jangka panjang</w:t>
            </w:r>
          </w:p>
        </w:tc>
      </w:tr>
      <w:tr>
        <w:tc>
          <w:tcPr/>
          <w:p>
            <w:pPr>
              <w:pStyle w:val="Compact"/>
            </w:pPr>
            <w:r>
              <w:t xml:space="preserve">Pemerataan energi</w:t>
            </w:r>
          </w:p>
        </w:tc>
        <w:tc>
          <w:tcPr/>
          <w:p>
            <w:pPr>
              <w:pStyle w:val="Compact"/>
            </w:pPr>
            <w:r>
              <w:t xml:space="preserve">Menjangkau daerah tanpa pipa (LNG Hub,</w:t>
            </w:r>
            <w:r>
              <w:t xml:space="preserve"> </w:t>
            </w:r>
            <w:r>
              <w:rPr>
                <w:i/>
                <w:iCs/>
              </w:rPr>
              <w:t xml:space="preserve">virtual pipeline</w:t>
            </w:r>
            <w:r>
              <w:t xml:space="preserve">)</w:t>
            </w:r>
          </w:p>
        </w:tc>
        <w:tc>
          <w:tcPr/>
          <w:p>
            <w:pPr>
              <w:pStyle w:val="Compact"/>
            </w:pPr>
            <w:r>
              <w:t xml:space="preserve">Fasilitas bisa jadi</w:t>
            </w:r>
            <w:r>
              <w:t xml:space="preserve"> </w:t>
            </w:r>
            <w:r>
              <w:rPr>
                <w:i/>
                <w:iCs/>
              </w:rPr>
              <w:t xml:space="preserve">stranded asset</w:t>
            </w:r>
            <w:r>
              <w:t xml:space="preserve"> </w:t>
            </w:r>
            <w:r>
              <w:t xml:space="preserve">bila EBT lebih cepat murah</w:t>
            </w:r>
          </w:p>
        </w:tc>
      </w:tr>
      <w:tr>
        <w:tc>
          <w:tcPr/>
          <w:p>
            <w:pPr>
              <w:pStyle w:val="Compact"/>
            </w:pPr>
            <w:r>
              <w:t xml:space="preserve">Kebijakan nasional</w:t>
            </w:r>
          </w:p>
        </w:tc>
        <w:tc>
          <w:tcPr/>
          <w:p>
            <w:pPr>
              <w:pStyle w:val="Compact"/>
            </w:pPr>
            <w:r>
              <w:t xml:space="preserve">Diakui ESDM sebagai energi transisi</w:t>
            </w:r>
          </w:p>
        </w:tc>
        <w:tc>
          <w:tcPr/>
          <w:p>
            <w:pPr>
              <w:pStyle w:val="Compact"/>
            </w:pPr>
            <w:r>
              <w:t xml:space="preserve">Target porsi gas dalam bauran direvisi turun</w:t>
            </w:r>
          </w:p>
        </w:tc>
      </w:tr>
      <w:tr>
        <w:tc>
          <w:tcPr/>
          <w:p>
            <w:pPr>
              <w:pStyle w:val="Compact"/>
            </w:pPr>
            <w:r>
              <w:t xml:space="preserve">Skala waktu</w:t>
            </w:r>
          </w:p>
        </w:tc>
        <w:tc>
          <w:tcPr/>
          <w:p>
            <w:pPr>
              <w:pStyle w:val="Compact"/>
            </w:pPr>
            <w:r>
              <w:t xml:space="preserve">Menggantikan batu bara lebih cepat dari membangun EBT penuh</w:t>
            </w:r>
          </w:p>
        </w:tc>
        <w:tc>
          <w:tcPr/>
          <w:p>
            <w:pPr>
              <w:pStyle w:val="Compact"/>
            </w:pPr>
            <w:r>
              <w:t xml:space="preserve">Kontrak &amp; fasilitas LNG umumnya berumur 15–25+ tahun</w:t>
            </w:r>
          </w:p>
        </w:tc>
      </w:tr>
    </w:tbl>
    <w:p>
      <w:pPr>
        <w:pStyle w:val="BodyText"/>
      </w:pPr>
      <w:r>
        <w:t xml:space="preserve">Sisi kebijakan menarik dicermati. Target porsi gas bumi dalam bauran energi primer yang dulu dipatok 22% pada 2025 (RUEN lama) telah direvisi turun menjadi sekitar 12,9–14,2% pada 2030 lewat Kebijakan Energi Nasional terbaru (PP No. 40/2025). Pergeseran ini memperkuat pembacaan bahwa, dalam praktik, LNG diposisikan sebagai instrumen sementara, bukan tujuan akhir.</w:t>
      </w:r>
    </w:p>
    <w:bookmarkEnd w:id="23"/>
    <w:bookmarkStart w:id="25" w:name="X3f6851a21aad4c4ced554862ad8d936d2495074"/>
    <w:p>
      <w:pPr>
        <w:pStyle w:val="Heading2"/>
      </w:pPr>
      <w:r>
        <w:t xml:space="preserve">Kapan LNG Membantu Transisi, dan Kapan Ia Menghambatnya</w:t>
      </w:r>
    </w:p>
    <w:p>
      <w:pPr>
        <w:pStyle w:val="FirstParagraph"/>
      </w:pPr>
      <w:r>
        <w:t xml:space="preserve">LNG membantu ketika menggantikan bahan bakar lebih kotor dan mengisi celah keandalan selagi energi terbarukan dibangun, terutama di wilayah tanpa akses pipa. LNG menghambat ketika diperlakukan sebagai solusi permanen, mengunci investasi puluhan tahun, atau menunda pembangunan kapasitas EBT yang sebenarnya sudah bisa dimulai.</w:t>
      </w:r>
    </w:p>
    <w:p>
      <w:pPr>
        <w:pStyle w:val="BodyText"/>
      </w:pPr>
      <w:r>
        <w:t xml:space="preserve">Bagian ini jarang ditulis dengan jujur, padahal krusial. Risiko</w:t>
      </w:r>
      <w:r>
        <w:t xml:space="preserve"> </w:t>
      </w:r>
      <w:r>
        <w:rPr>
          <w:i/>
          <w:iCs/>
        </w:rPr>
        <w:t xml:space="preserve">carbon lock-in</w:t>
      </w:r>
      <w:r>
        <w:t xml:space="preserve"> </w:t>
      </w:r>
      <w:r>
        <w:t xml:space="preserve">bukan sekadar kekhawatiran teoretis. IESR mencatat kapasitas pembangkit listrik mandiri (</w:t>
      </w:r>
      <w:r>
        <w:rPr>
          <w:i/>
          <w:iCs/>
        </w:rPr>
        <w:t xml:space="preserve">captive</w:t>
      </w:r>
      <w:r>
        <w:t xml:space="preserve">) di Indonesia mencapai sekitar 33 GW, didominasi batu bara dan gas — infrastruktur berumur panjang yang berpotensi mengunci pola emisi selama dekade mendatang bila tak dibarengi jalur keluar yang jelas.</w:t>
      </w:r>
    </w:p>
    <w:p>
      <w:pPr>
        <w:pStyle w:val="BodyText"/>
      </w:pPr>
      <w:r>
        <w:t xml:space="preserve">Konteks targetnya juga bertingkat, bukan angka tunggal. Sektor energi menargetkan penurunan emisi 314 juta ton CO2e dengan upaya sendiri hingga 398 juta ton CO2e dengan dukungan internasional pada 2030, dengan angka revisi E-NDC di 358 juta ton (Kementerian ESDM/EBTKE). Semua itu berlabuh pada komitmen Net Zero Emission (NZE) Indonesia pada 2060, bukan 2050 seperti sering keliru dikutip.</w:t>
      </w:r>
    </w:p>
    <w:p>
      <w:pPr>
        <w:pStyle w:val="BodyText"/>
      </w:pPr>
      <w:r>
        <w:t xml:space="preserve">Maka penilaiannya kontekstual. LNG yang menggantikan pembangkit diesel di pulau terpencil punya nilai transisi yang berbeda dari LNG yang mengunci kontrak 25 tahun di lokasi yang sebenarnya bisa dilistriki surya. Transisi energi pun tak berhenti di satu moda; ia melibatkan bauran, termasuk peran</w:t>
      </w:r>
      <w:r>
        <w:t xml:space="preserve"> </w:t>
      </w:r>
      <w:hyperlink r:id="rId24">
        <w:r>
          <w:rPr>
            <w:rStyle w:val="Hyperlink"/>
          </w:rPr>
          <w:t xml:space="preserve">CNG sebagai energi transisi</w:t>
        </w:r>
      </w:hyperlink>
      <w:r>
        <w:t xml:space="preserve"> </w:t>
      </w:r>
      <w:r>
        <w:t xml:space="preserve">untuk segmen dan jangkauan yang berbeda.</w:t>
      </w:r>
    </w:p>
    <w:p>
      <w:pPr>
        <w:pStyle w:val="BodyText"/>
      </w:pPr>
      <w:r>
        <w:rPr>
          <w:i/>
          <w:iCs/>
        </w:rPr>
        <w:t xml:space="preserve">[Image 03: Peta konseptual Indonesia menunjukkan wilayah terjangkau pipa gas konvensional (biru) versus wilayah yang dilayani model beyond-pipeline (hijau, ikon LNG Hub/ISO tank/MRU). Menegaskan argumen pemerataan energi tanpa mengklaim cakupan nasional, teks Bahasa Indonesia.]</w:t>
      </w:r>
    </w:p>
    <w:bookmarkEnd w:id="25"/>
    <w:bookmarkStart w:id="32" w:name="faq-pertanyaan-yang-sering-diajukan"/>
    <w:p>
      <w:pPr>
        <w:pStyle w:val="Heading2"/>
      </w:pPr>
      <w:r>
        <w:t xml:space="preserve">FAQ (Pertanyaan yang Sering Diajukan)</w:t>
      </w:r>
    </w:p>
    <w:bookmarkStart w:id="26" w:name="apa-itu-bahan-bakar-jembatan-bridge-fuel"/>
    <w:p>
      <w:pPr>
        <w:pStyle w:val="Heading3"/>
      </w:pPr>
      <w:r>
        <w:t xml:space="preserve">Apa itu bahan bakar jembatan (bridge fuel)?</w:t>
      </w:r>
    </w:p>
    <w:p>
      <w:pPr>
        <w:pStyle w:val="FirstParagraph"/>
      </w:pPr>
      <w:r>
        <w:t xml:space="preserve">Bahan bakar jembatan adalah sumber energi fosil beremisi relatif lebih rendah, seperti gas bumi atau LNG, yang dipakai sementara menggantikan batu bara atau BBM sambil kapasitas energi terbarukan dibangun. Konsep ini dipakai luas dalam kebijakan energi, termasuk oleh Kementerian ESDM, meski efektivitasnya sebagai</w:t>
      </w:r>
      <w:r>
        <w:t xml:space="preserve"> </w:t>
      </w:r>
      <w:r>
        <w:t xml:space="preserve">“jembatan”</w:t>
      </w:r>
      <w:r>
        <w:t xml:space="preserve"> </w:t>
      </w:r>
      <w:r>
        <w:t xml:space="preserve">tetap diperdebatkan bila infrastrukturnya bertahan terlalu lama.</w:t>
      </w:r>
    </w:p>
    <w:bookmarkEnd w:id="26"/>
    <w:bookmarkStart w:id="27" w:name="apakah-lng-termasuk-energi-bersih"/>
    <w:p>
      <w:pPr>
        <w:pStyle w:val="Heading3"/>
      </w:pPr>
      <w:r>
        <w:t xml:space="preserve">Apakah LNG termasuk energi bersih?</w:t>
      </w:r>
    </w:p>
    <w:p>
      <w:pPr>
        <w:pStyle w:val="FirstParagraph"/>
      </w:pPr>
      <w:r>
        <w:t xml:space="preserve">LNG lebih rendah CO2, SOx, dan partikulat dari batu bara saat dibakar, dan IEA/S&amp;P mencatat emisi siklus-hidupnya rata-rata 25–47% lebih rendah. Namun studi Cornell (2024) menemukan bila metana dihitung penuh pada horison 20 tahun, jejaknya bisa 33% lebih tinggi dari batu bara. Label</w:t>
      </w:r>
      <w:r>
        <w:t xml:space="preserve"> </w:t>
      </w:r>
      <w:r>
        <w:t xml:space="preserve">“energi bersih”</w:t>
      </w:r>
      <w:r>
        <w:t xml:space="preserve"> </w:t>
      </w:r>
      <w:r>
        <w:t xml:space="preserve">karena itu perlu dibaca dengan syarat, bukan tanpa syarat.</w:t>
      </w:r>
    </w:p>
    <w:bookmarkEnd w:id="27"/>
    <w:bookmarkStart w:id="28" w:name="Xee9078dec604813b0ad6e7e550b24d412659835"/>
    <w:p>
      <w:pPr>
        <w:pStyle w:val="Heading3"/>
      </w:pPr>
      <w:r>
        <w:t xml:space="preserve">Mengapa Indonesia masih mengandalkan LNG di 2026?</w:t>
      </w:r>
    </w:p>
    <w:p>
      <w:pPr>
        <w:pStyle w:val="FirstParagraph"/>
      </w:pPr>
      <w:r>
        <w:t xml:space="preserve">Gas bumi dan LNG dipandang ESDM tetap berperan dalam transisi energi Asia Pasifik karena emisinya lebih rendah dari batu bara serta mudah diangkut ke wilayah tanpa pipa. Pada 2025, 69% dari 5.600 BBTUD produksi gas nasional dialokasikan untuk domestik, mendukung kelistrikan, industri, dan pemerataan energi tanpa impor.</w:t>
      </w:r>
    </w:p>
    <w:bookmarkEnd w:id="28"/>
    <w:bookmarkStart w:id="29" w:name="apa-itu-metana-slip-dan-kenapa-penting"/>
    <w:p>
      <w:pPr>
        <w:pStyle w:val="Heading3"/>
      </w:pPr>
      <w:r>
        <w:t xml:space="preserve">Apa itu metana slip dan kenapa penting?</w:t>
      </w:r>
    </w:p>
    <w:p>
      <w:pPr>
        <w:pStyle w:val="FirstParagraph"/>
      </w:pPr>
      <w:r>
        <w:t xml:space="preserve">Metana slip adalah gas metana yang lolos tanpa terbakar sepanjang rantai produksi, likuifaksi, transportasi, hingga pemakaian LNG. Ini penting karena metana jauh lebih poten dari CO2 dalam jangka pendek. Menurut IPCC AR6, GWP20 metana fosil mencapai 81 dibanding GWP100 sebesar 27, sehingga kebocoran kecil pun bisa memangkas keunggulan iklim LNG.</w:t>
      </w:r>
    </w:p>
    <w:bookmarkEnd w:id="29"/>
    <w:bookmarkStart w:id="30" w:name="X2fe51ddeb9c2e16d9878f69e00b989df016acff"/>
    <w:p>
      <w:pPr>
        <w:pStyle w:val="Heading3"/>
      </w:pPr>
      <w:r>
        <w:t xml:space="preserve">Apa itu carbon lock-in pada infrastruktur gas?</w:t>
      </w:r>
    </w:p>
    <w:p>
      <w:pPr>
        <w:pStyle w:val="FirstParagraph"/>
      </w:pPr>
      <w:r>
        <w:t xml:space="preserve">Carbon lock-in adalah situasi ketika infrastruktur energi fosil dibangun besar-besaran dan berumur puluhan tahun, sehingga menghambat investasi ke energi terbarukan di masa depan. IESR mencatat kapasitas pembangkit captive Indonesia sekitar 33 GW yang didominasi batu bara dan gas berisiko menciptakan lock-in bila tidak direncanakan dengan jalur keluar yang jelas.</w:t>
      </w:r>
    </w:p>
    <w:bookmarkEnd w:id="30"/>
    <w:bookmarkStart w:id="31" w:name="Xe7e93cfb8a6d3dbd2bd70bb6c2397374bae198e"/>
    <w:p>
      <w:pPr>
        <w:pStyle w:val="Heading3"/>
      </w:pPr>
      <w:r>
        <w:t xml:space="preserve">Apa peran LNG dalam bauran energi nasional?</w:t>
      </w:r>
    </w:p>
    <w:p>
      <w:pPr>
        <w:pStyle w:val="FirstParagraph"/>
      </w:pPr>
      <w:r>
        <w:t xml:space="preserve">Target porsi gas bumi dalam bauran energi primer sempat dipatok 22% pada 2025 (RUEN lama), namun Kebijakan Energi Nasional terbaru (PP No. 40/2025) merevisinya menjadi sekitar 12,9–14,2% pada 2030, sinyal bahwa fokus kebijakan bergeser ke energi terbarukan. Perannya tetap signifikan untuk keandalan pasokan (</w:t>
      </w:r>
      <w:r>
        <w:rPr>
          <w:i/>
          <w:iCs/>
        </w:rPr>
        <w:t xml:space="preserve">base load</w:t>
      </w:r>
      <w:r>
        <w:t xml:space="preserve">) dan pemerataan ke daerah tanpa pipa.</w:t>
      </w:r>
    </w:p>
    <w:bookmarkEnd w:id="31"/>
    <w:bookmarkEnd w:id="32"/>
    <w:bookmarkStart w:id="33" w:name="kesimpulan"/>
    <w:p>
      <w:pPr>
        <w:pStyle w:val="Heading2"/>
      </w:pPr>
      <w:r>
        <w:t xml:space="preserve">Kesimpulan</w:t>
      </w:r>
    </w:p>
    <w:p>
      <w:pPr>
        <w:pStyle w:val="FirstParagraph"/>
      </w:pPr>
      <w:r>
        <w:t xml:space="preserve">Debat</w:t>
      </w:r>
      <w:r>
        <w:t xml:space="preserve"> </w:t>
      </w:r>
      <w:r>
        <w:t xml:space="preserve">“jembatan atau jebakan”</w:t>
      </w:r>
      <w:r>
        <w:t xml:space="preserve"> </w:t>
      </w:r>
      <w:r>
        <w:t xml:space="preserve">tidak punya jawaban tunggal, dan itu justru poin utamanya. LNG bisa memangkas emisi lebih cepat dari batu bara sekaligus mengunci infrastruktur fosil bila dijadikan tujuan akhir; keduanya benar tergantung konteks dan cara menghitung. Yang membuat perbedaan bukan labelnya, melainkan cara memakainya: menggantikan bahan bakar kotor dan menjangkau daerah tanpa pipa, atau justru menunda energi terbarukan. PGN Gagas, sebagai bagian Subholding Gas Pertamina, memposisikan gas bumi sebagai energi transisi yang lebih bersih dan hemat, dengan mengoperasikan LNG Hub dan menyalurkan gas bumi beyond-pipeline ke daerah yang belum terjangkau jaringan pipa. Perannya adalah instrumen pemerataan di sisi hilir, bukan penentu kebijakan iklim.</w:t>
      </w:r>
    </w:p>
    <w:p>
      <w:pPr>
        <w:pStyle w:val="BodyText"/>
      </w:pPr>
      <w:r>
        <w:t xml:space="preserve">Untuk mendiskusikan solusi pasokan gas bumi beyond-pipeline bagi operasi Anda, jelajahi selengkapnya di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link/" TargetMode="External" /><Relationship Type="http://schemas.openxmlformats.org/officeDocument/2006/relationships/hyperlink" Id="rId24"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1" Target="https://www.iea.org/reports/assessing-emissions-from-lng-supply-and-abatement-options"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link/" TargetMode="External" /><Relationship Type="http://schemas.openxmlformats.org/officeDocument/2006/relationships/hyperlink" Id="rId24"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1" Target="https://www.iea.org/reports/assessing-emissions-from-lng-supply-and-abatement-op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2026-07-08T03:07:52Z</dcterms:created>
  <dcterms:modified xsi:type="dcterms:W3CDTF">2026-07-08T03:07:52Z</dcterms:modified>
</cp:coreProperties>
</file>

<file path=docProps/custom.xml><?xml version="1.0" encoding="utf-8"?>
<Properties xmlns="http://schemas.openxmlformats.org/officeDocument/2006/custom-properties" xmlns:vt="http://schemas.openxmlformats.org/officeDocument/2006/docPropsVTypes"/>
</file>