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"Performa &amp; Emisi Gasku (BBG) vs Bensin: Data Tenaga, Konsumsi, Emisi"</w:t>
      </w:r>
      <w:r>
        <w:br/>
      </w:r>
      <w:r>
        <w:rPr>
          <w:rStyle w:val="FunctionTok"/>
        </w:rPr>
        <w:t xml:space="preserve">meta_title</w:t>
      </w:r>
      <w:r>
        <w:rPr>
          <w:rStyle w:val="KeywordTok"/>
        </w:rPr>
        <w:t xml:space="preserve">:</w:t>
      </w:r>
      <w:r>
        <w:rPr>
          <w:rStyle w:val="AttributeTok"/>
        </w:rPr>
        <w:t xml:space="preserve"> </w:t>
      </w:r>
      <w:r>
        <w:rPr>
          <w:rStyle w:val="StringTok"/>
        </w:rPr>
        <w:t xml:space="preserve">"Performa &amp; Emisi Gasku (BBG) vs Bensin: Data &amp; Fakta"</w:t>
      </w:r>
      <w:r>
        <w:br/>
      </w:r>
      <w:r>
        <w:rPr>
          <w:rStyle w:val="FunctionTok"/>
        </w:rPr>
        <w:t xml:space="preserve">meta_description</w:t>
      </w:r>
      <w:r>
        <w:rPr>
          <w:rStyle w:val="KeywordTok"/>
        </w:rPr>
        <w:t xml:space="preserve">:</w:t>
      </w:r>
      <w:r>
        <w:rPr>
          <w:rStyle w:val="AttributeTok"/>
        </w:rPr>
        <w:t xml:space="preserve"> </w:t>
      </w:r>
      <w:r>
        <w:rPr>
          <w:rStyle w:val="StringTok"/>
        </w:rPr>
        <w:t xml:space="preserve">"Performa &amp; emisi Gasku (BBG) vs bensin per parameter: tenaga turun 10–20%, emisi karbon 25–35% lebih rendah, jarak per LSP, plus fakta jujur soal NOx."</w:t>
      </w:r>
      <w:r>
        <w:br/>
      </w:r>
      <w:r>
        <w:rPr>
          <w:rStyle w:val="FunctionTok"/>
        </w:rPr>
        <w:t xml:space="preserve">slug</w:t>
      </w:r>
      <w:r>
        <w:rPr>
          <w:rStyle w:val="KeywordTok"/>
        </w:rPr>
        <w:t xml:space="preserve">:</w:t>
      </w:r>
      <w:r>
        <w:rPr>
          <w:rStyle w:val="AttributeTok"/>
        </w:rPr>
        <w:t xml:space="preserve"> </w:t>
      </w:r>
      <w:r>
        <w:rPr>
          <w:rStyle w:val="StringTok"/>
        </w:rPr>
        <w:t xml:space="preserve">"gasku-performa-emisi-vs-bensin"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"performa mesin BBG vs bensin"</w:t>
      </w:r>
      <w:r>
        <w:rPr>
          <w:rStyle w:val="KeywordTok"/>
        </w:rPr>
        <w:t xml:space="preserve">,</w:t>
      </w:r>
      <w:r>
        <w:rPr>
          <w:rStyle w:val="AttributeTok"/>
        </w:rPr>
        <w:t xml:space="preserve"> </w:t>
      </w:r>
      <w:r>
        <w:rPr>
          <w:rStyle w:val="StringTok"/>
        </w:rPr>
        <w:t xml:space="preserve">"penurunan tenaga CNG"</w:t>
      </w:r>
      <w:r>
        <w:rPr>
          <w:rStyle w:val="KeywordTok"/>
        </w:rPr>
        <w:t xml:space="preserve">,</w:t>
      </w:r>
      <w:r>
        <w:rPr>
          <w:rStyle w:val="AttributeTok"/>
        </w:rPr>
        <w:t xml:space="preserve"> </w:t>
      </w:r>
      <w:r>
        <w:rPr>
          <w:rStyle w:val="StringTok"/>
        </w:rPr>
        <w:t xml:space="preserve">"efisiensi volumetrik"</w:t>
      </w:r>
      <w:r>
        <w:rPr>
          <w:rStyle w:val="KeywordTok"/>
        </w:rPr>
        <w:t xml:space="preserve">,</w:t>
      </w:r>
      <w:r>
        <w:rPr>
          <w:rStyle w:val="AttributeTok"/>
        </w:rPr>
        <w:t xml:space="preserve"> </w:t>
      </w:r>
      <w:r>
        <w:rPr>
          <w:rStyle w:val="StringTok"/>
        </w:rPr>
        <w:t xml:space="preserve">"emisi kendaraan CNG"</w:t>
      </w:r>
      <w:r>
        <w:rPr>
          <w:rStyle w:val="KeywordTok"/>
        </w:rPr>
        <w:t xml:space="preserve">,</w:t>
      </w:r>
      <w:r>
        <w:rPr>
          <w:rStyle w:val="AttributeTok"/>
        </w:rPr>
        <w:t xml:space="preserve"> </w:t>
      </w:r>
      <w:r>
        <w:rPr>
          <w:rStyle w:val="StringTok"/>
        </w:rPr>
        <w:t xml:space="preserve">"jarak tempuh per LSP"</w:t>
      </w:r>
      <w:r>
        <w:rPr>
          <w:rStyle w:val="KeywordTok"/>
        </w:rPr>
        <w:t xml:space="preserve">,</w:t>
      </w:r>
      <w:r>
        <w:rPr>
          <w:rStyle w:val="AttributeTok"/>
        </w:rPr>
        <w:t xml:space="preserve"> </w:t>
      </w:r>
      <w:r>
        <w:rPr>
          <w:rStyle w:val="StringTok"/>
        </w:rPr>
        <w:t xml:space="preserve">"RON gas alam"</w:t>
      </w:r>
      <w:r>
        <w:rPr>
          <w:rStyle w:val="KeywordTok"/>
        </w:rPr>
        <w:t xml:space="preserve">,</w:t>
      </w:r>
      <w:r>
        <w:rPr>
          <w:rStyle w:val="AttributeTok"/>
        </w:rPr>
        <w:t xml:space="preserve"> </w:t>
      </w:r>
      <w:r>
        <w:rPr>
          <w:rStyle w:val="StringTok"/>
        </w:rPr>
        <w:t xml:space="preserve">"Compressed Natural Gas (CNG)"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"https://migas.esdm.go.id/post/read/Diversifikasi-BBM-ke-Bahan-Bakar-Gas-Pada-Sektor-Transportasi"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"RON gas alam ≈120 dan nilai kalor 9.000–11.000 kkal/kg"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"https://journal.esdm.go.id/swarapatra/article/view/1158"</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"emisi karbon BBG 25–35% lebih rendah dibanding BBM"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"https://www.eia.gov/environment/emissions/co2_vol_mass.php"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"koefisien CO2 gas alam ~30% lebih rendah per satuan energi"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"https://pubmed.ncbi.nlm.nih.gov/27219504/"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"penurunan CO/HC/NOx real-world 7–30% dan NOx bisa lebih tinggi"</w:t>
      </w:r>
      <w:r>
        <w:br/>
      </w:r>
      <w:r>
        <w:rPr>
          <w:rStyle w:val="FunctionTok"/>
        </w:rPr>
        <w:t xml:space="preserve">brief_id</w:t>
      </w:r>
      <w:r>
        <w:rPr>
          <w:rStyle w:val="KeywordTok"/>
        </w:rPr>
        <w:t xml:space="preserve">:</w:t>
      </w:r>
      <w:r>
        <w:rPr>
          <w:rStyle w:val="AttributeTok"/>
        </w:rPr>
        <w:t xml:space="preserve"> </w:t>
      </w:r>
      <w:r>
        <w:rPr>
          <w:rStyle w:val="StringTok"/>
        </w:rPr>
        <w:t xml:space="preserve">"gasku-02"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"2026-08-11"</w:t>
      </w:r>
      <w:r>
        <w:br/>
      </w:r>
      <w:r>
        <w:rPr>
          <w:rStyle w:val="FunctionTok"/>
        </w:rPr>
        <w:t xml:space="preserve">word_count</w:t>
      </w:r>
      <w:r>
        <w:rPr>
          <w:rStyle w:val="KeywordTok"/>
        </w:rPr>
        <w:t xml:space="preserve">:</w:t>
      </w:r>
      <w:r>
        <w:rPr>
          <w:rStyle w:val="AttributeTok"/>
        </w:rPr>
        <w:t xml:space="preserve"> </w:t>
      </w:r>
      <w:r>
        <w:rPr>
          <w:rStyle w:val="DecValTok"/>
        </w:rPr>
        <w:t xml:space="preserve">1582</w:t>
      </w:r>
    </w:p>
    <w:p>
      <w:r>
        <w:pict>
          <v:rect style="width:0;height:1.5pt" o:hralign="center" o:hrstd="t" o:hr="t"/>
        </w:pict>
      </w:r>
    </w:p>
    <w:bookmarkEnd w:id="16"/>
    <w:bookmarkStart w:id="34" w:name="X0a68eb74e8040b46d1b39ed51f4eb9e48397fd4"/>
    <w:p>
      <w:pPr>
        <w:pStyle w:val="Heading1"/>
      </w:pPr>
      <w:r>
        <w:t xml:space="preserve">Performa &amp; Emisi Gasku (BBG) vs Bensin: Data Tenaga, Konsumsi, Emisi</w:t>
      </w:r>
    </w:p>
    <w:p>
      <w:pPr>
        <w:pStyle w:val="FirstParagraph"/>
      </w:pPr>
      <w:r>
        <w:t xml:space="preserve">Dua pertanyaan hampir selalu muncul sebelum seseorang mengonversi kendaraannya ke bahan bakar gas: berapa tenaga yang harus direlakan, dan seberapa nyata label</w:t>
      </w:r>
      <w:r>
        <w:t xml:space="preserve"> </w:t>
      </w:r>
      <w:r>
        <w:t xml:space="preserve">“ramah lingkungan”</w:t>
      </w:r>
      <w:r>
        <w:t xml:space="preserve"> </w:t>
      </w:r>
      <w:r>
        <w:t xml:space="preserve">itu. Jawaban di internet justru menambah bingung. Satu artikel menyebut emisi turun 20%, yang lain 90%, ada pula yang 95%, tanpa menjelaskan parameter apa yang diukur atau dari mana angkanya. Tulisan ini membedah performa dan emisi</w:t>
      </w:r>
      <w:r>
        <w:t xml:space="preserve"> </w:t>
      </w:r>
      <w:hyperlink r:id="rId17">
        <w:r>
          <w:rPr>
            <w:rStyle w:val="Hyperlink"/>
          </w:rPr>
          <w:t xml:space="preserve">Gasku</w:t>
        </w:r>
      </w:hyperlink>
      <w:r>
        <w:t xml:space="preserve"> </w:t>
      </w:r>
      <w:r>
        <w:t xml:space="preserve">(BBG) versus bensin apa adanya: tenaga dan torsi, konsumsi per LSP, serta emisi per polutan, lengkap dengan sumber dan konteks pengukurannya. Fokusnya bukan menjual optimisme, melainkan menaruh setiap angka pada tempat yang benar.</w:t>
      </w:r>
    </w:p>
    <w:p>
      <w:pPr>
        <w:pStyle w:val="BlockText"/>
      </w:pPr>
      <w:r>
        <w:rPr>
          <w:b/>
          <w:bCs/>
        </w:rPr>
        <w:t xml:space="preserve">Ringkasnya:</w:t>
      </w:r>
      <w:r>
        <w:t xml:space="preserve"> </w:t>
      </w:r>
      <w:r>
        <w:t xml:space="preserve">Performa dan emisi Bahan Bakar Gas (BBG/CNG) berbeda dari bensin karena sifat fisik gas metana. BBG umumnya menurunkan tenaga mesin sekitar 10–20% akibat efisiensi volumetrik yang lebih rendah, namun menghasilkan emisi karbon sekitar 25–35% lebih rendah (PPSDM Migas ESDM, 2015). Angka oktan gas alam yang tinggi (RON &gt;120) menguntungkan mesin berkompresi tinggi.</w:t>
      </w:r>
    </w:p>
    <w:p>
      <w:pPr>
        <w:pStyle w:val="FirstParagraph"/>
      </w:pPr>
      <w:r>
        <w:rPr>
          <w:i/>
          <w:iCs/>
        </w:rPr>
        <w:t xml:space="preserve">[Image 01: Diagram potongan melintang ruang bakar dan intake manifold, membandingkan gas CNG yang menggeser sebagian udara masuk (sisi kiri) versus uap bensin cair yang mendinginkan dan memadatkan udara (sisi kanan); panah aliran dengan label</w:t>
      </w:r>
      <w:r>
        <w:rPr>
          <w:i/>
          <w:iCs/>
        </w:rPr>
        <w:t xml:space="preserve"> </w:t>
      </w:r>
      <w:r>
        <w:rPr>
          <w:i/>
          <w:iCs/>
        </w:rPr>
        <w:t xml:space="preserve">“udara masuk berkurang ~8%”</w:t>
      </w:r>
      <w:r>
        <w:rPr>
          <w:i/>
          <w:iCs/>
        </w:rPr>
        <w:t xml:space="preserve"> </w:t>
      </w:r>
      <w:r>
        <w:rPr>
          <w:i/>
          <w:iCs/>
        </w:rPr>
        <w:t xml:space="preserve">pada sisi CNG, gaya teknik bersih biru-hijau, teks Bahasa Indonesia. Alt:</w:t>
      </w:r>
      <w:r>
        <w:rPr>
          <w:i/>
          <w:iCs/>
        </w:rPr>
        <w:t xml:space="preserve"> </w:t>
      </w:r>
      <w:r>
        <w:rPr>
          <w:i/>
          <w:iCs/>
        </w:rPr>
        <w:t xml:space="preserve">“Diagram mekanisme efisiensi volumetrik CNG vs bensin”</w:t>
      </w:r>
      <w:r>
        <w:rPr>
          <w:i/>
          <w:iCs/>
        </w:rPr>
        <w:t xml:space="preserve">.]</w:t>
      </w:r>
    </w:p>
    <w:bookmarkStart w:id="20" w:name="X5b45cdea967756cba785a8db433bcf66a9e86cb"/>
    <w:p>
      <w:pPr>
        <w:pStyle w:val="Heading2"/>
      </w:pPr>
      <w:r>
        <w:t xml:space="preserve">Mengapa Performa dan Emisi BBG Berbeda dari Bensin?</w:t>
      </w:r>
    </w:p>
    <w:p>
      <w:pPr>
        <w:pStyle w:val="FirstParagraph"/>
      </w:pPr>
      <w:r>
        <w:t xml:space="preserve">Perbedaannya berakar pada sifat fisik metana, komponen utama gas alam. Metana punya angka oktan sangat tinggi (RON gas alam sekitar 120 menurut Kementerian ESDM) sehingga tahan knocking, tetapi densitas energi per satuan volume ruang bakarnya lebih rendah daripada bensin cair. Dari dua sifat berlawanan inilah performa dan pola emisi BBG menyimpang dari bensin.</w:t>
      </w:r>
    </w:p>
    <w:p>
      <w:pPr>
        <w:pStyle w:val="BodyText"/>
      </w:pPr>
      <w:r>
        <w:t xml:space="preserve">Bensin masuk ruang bakar sebagai cairan yang diatomisasi lalu menguap; gas alam sudah berwujud gas sejak dari intake. Karena itu ia bercampur lebih homogen dengan udara, pembakaran cenderung lebih merata, dan residu karbon yang tersisa lebih sedikit. Inilah dasar teknis di balik istilah</w:t>
      </w:r>
      <w:r>
        <w:t xml:space="preserve"> </w:t>
      </w:r>
      <w:r>
        <w:t xml:space="preserve">“pembakaran lebih sempurna”</w:t>
      </w:r>
      <w:r>
        <w:t xml:space="preserve">.</w:t>
      </w:r>
    </w:p>
    <w:p>
      <w:pPr>
        <w:pStyle w:val="BodyText"/>
      </w:pPr>
      <w:r>
        <w:t xml:space="preserve">Sebagai bahan bakar,</w:t>
      </w:r>
      <w:r>
        <w:t xml:space="preserve"> </w:t>
      </w:r>
      <w:hyperlink r:id="rId18">
        <w:r>
          <w:rPr>
            <w:rStyle w:val="Hyperlink"/>
          </w:rPr>
          <w:t xml:space="preserve">Compressed Natural Gas (CNG)</w:t>
        </w:r>
      </w:hyperlink>
      <w:r>
        <w:t xml:space="preserve"> </w:t>
      </w:r>
      <w:r>
        <w:t xml:space="preserve">punya profil yang khas. Nilai kalornya berkisar 9.000–11.000 kkal/kg atau sekitar 38–47 MJ/kg (</w:t>
      </w:r>
      <w:hyperlink r:id="rId19">
        <w:r>
          <w:rPr>
            <w:rStyle w:val="Hyperlink"/>
          </w:rPr>
          <w:t xml:space="preserve">Kementerian ESDM</w:t>
        </w:r>
      </w:hyperlink>
      <w:r>
        <w:t xml:space="preserve">), dan ketahanannya terhadap detonasi diukur lewat</w:t>
      </w:r>
      <w:r>
        <w:t xml:space="preserve"> </w:t>
      </w:r>
      <w:r>
        <w:rPr>
          <w:i/>
          <w:iCs/>
        </w:rPr>
        <w:t xml:space="preserve">methane number</w:t>
      </w:r>
      <w:r>
        <w:t xml:space="preserve">, analog angka oktan bensin dengan skala metana=100. Layanan Gasku dari PGN Gagas mencantumkan RON &gt;120 dan tekanan simpan sekitar 200 bar, dua angka yang mekanismenya bisa dijelaskan, bukan sekadar klaim pemasaran.</w:t>
      </w:r>
    </w:p>
    <w:p>
      <w:pPr>
        <w:pStyle w:val="BodyText"/>
      </w:pPr>
      <w:r>
        <w:t xml:space="preserve">Yang kerap disalahpahami:</w:t>
      </w:r>
      <w:r>
        <w:t xml:space="preserve"> </w:t>
      </w:r>
      <w:r>
        <w:t xml:space="preserve">“lebih ramah lingkungan”</w:t>
      </w:r>
      <w:r>
        <w:t xml:space="preserve"> </w:t>
      </w:r>
      <w:r>
        <w:t xml:space="preserve">bukan satu angka, melainkan beberapa hal yang diukur terpisah:</w:t>
      </w:r>
    </w:p>
    <w:p>
      <w:pPr>
        <w:pStyle w:val="Compact"/>
        <w:numPr>
          <w:ilvl w:val="0"/>
          <w:numId w:val="1001"/>
        </w:numPr>
      </w:pPr>
      <w:r>
        <w:rPr>
          <w:b/>
          <w:bCs/>
        </w:rPr>
        <w:t xml:space="preserve">Emisi karbon (CO2):</w:t>
      </w:r>
      <w:r>
        <w:t xml:space="preserve"> </w:t>
      </w:r>
      <w:r>
        <w:t xml:space="preserve">gas rumah kaca hasil pembakaran.</w:t>
      </w:r>
    </w:p>
    <w:p>
      <w:pPr>
        <w:pStyle w:val="Compact"/>
        <w:numPr>
          <w:ilvl w:val="0"/>
          <w:numId w:val="1001"/>
        </w:numPr>
      </w:pPr>
      <w:r>
        <w:rPr>
          <w:b/>
          <w:bCs/>
        </w:rPr>
        <w:t xml:space="preserve">Polutan lokal (CO, HC, NOx):</w:t>
      </w:r>
      <w:r>
        <w:t xml:space="preserve"> </w:t>
      </w:r>
      <w:r>
        <w:t xml:space="preserve">berdampak langsung pada kualitas udara di sekitar jalan.</w:t>
      </w:r>
    </w:p>
    <w:p>
      <w:pPr>
        <w:pStyle w:val="Compact"/>
        <w:numPr>
          <w:ilvl w:val="0"/>
          <w:numId w:val="1001"/>
        </w:numPr>
      </w:pPr>
      <w:r>
        <w:rPr>
          <w:b/>
          <w:bCs/>
        </w:rPr>
        <w:t xml:space="preserve">Perhitungan sumur-ke-roda (</w:t>
      </w:r>
      <w:r>
        <w:rPr>
          <w:b/>
          <w:bCs/>
          <w:i/>
          <w:iCs/>
        </w:rPr>
        <w:t xml:space="preserve">well-to-wheel</w:t>
      </w:r>
      <w:r>
        <w:rPr>
          <w:b/>
          <w:bCs/>
        </w:rPr>
        <w:t xml:space="preserve">):</w:t>
      </w:r>
      <w:r>
        <w:t xml:space="preserve"> </w:t>
      </w:r>
      <w:r>
        <w:t xml:space="preserve">total emisi dari produksi bahan bakar sampai pemakaian.</w:t>
      </w:r>
    </w:p>
    <w:p>
      <w:pPr>
        <w:pStyle w:val="FirstParagraph"/>
      </w:pPr>
      <w:r>
        <w:t xml:space="preserve">Ketiganya menghasilkan persentase berbeda, dan menyamakannya adalah akar dari kebingungan angka yang beredar.</w:t>
      </w:r>
    </w:p>
    <w:bookmarkEnd w:id="20"/>
    <w:bookmarkStart w:id="21" w:name="berapa-tenaga-yang-turun-saat-pakai-bbg"/>
    <w:p>
      <w:pPr>
        <w:pStyle w:val="Heading2"/>
      </w:pPr>
      <w:r>
        <w:t xml:space="preserve">Berapa Tenaga yang Turun Saat Pakai BBG?</w:t>
      </w:r>
    </w:p>
    <w:p>
      <w:pPr>
        <w:pStyle w:val="FirstParagraph"/>
      </w:pPr>
      <w:r>
        <w:t xml:space="preserve">Umumnya 10–20%. Penyebab utamanya efisiensi volumetrik yang lebih rendah: gas yang disuntikkan lewat intake menggeser sebagian udara masuk, sementara bensin cair menguap dan justru mendinginkan serta memadatkan udara. Penurunan paling terasa saat menanjak atau membawa beban berat, dan nyaris tak terasa pada pemakaian kota harian.</w:t>
      </w:r>
    </w:p>
    <w:p>
      <w:pPr>
        <w:pStyle w:val="BodyText"/>
      </w:pPr>
      <w:r>
        <w:t xml:space="preserve">Literatur teknik pembakaran memperkirakan bensin unggul sekitar 8% pada efisiensi volumetrik dibanding sistem CNG</w:t>
      </w:r>
      <w:r>
        <w:t xml:space="preserve"> </w:t>
      </w:r>
      <w:r>
        <w:rPr>
          <w:i/>
          <w:iCs/>
        </w:rPr>
        <w:t xml:space="preserve">port-injection</w:t>
      </w:r>
      <w:r>
        <w:t xml:space="preserve">, semata karena efek pendinginan uap bensin tadi. Kecil di atas kertas, tetapi berakumulasi menjadi selisih tenaga puncak yang terasa.</w:t>
      </w:r>
    </w:p>
    <w:p>
      <w:pPr>
        <w:pStyle w:val="BodyText"/>
      </w:pPr>
      <w:r>
        <w:t xml:space="preserve">Besarnya penurunan bergantung pada mesin. Satu studi</w:t>
      </w:r>
      <w:r>
        <w:t xml:space="preserve"> </w:t>
      </w:r>
      <w:r>
        <w:rPr>
          <w:i/>
          <w:iCs/>
        </w:rPr>
        <w:t xml:space="preserve">dynotest</w:t>
      </w:r>
      <w:r>
        <w:t xml:space="preserve"> </w:t>
      </w:r>
      <w:r>
        <w:t xml:space="preserve">di Indonesia mencatat daya turun 12,4% dan torsi 23,7% dibanding Pertamax RON92 (Subekti, Jurnal Teknologi Bahan dan Barang Teknik). Baca angka ini sebagai potret satu kondisi uji, bukan rata-rata semua kendaraan. Tiga hal menentukan seberapa besar selisihnya:</w:t>
      </w:r>
    </w:p>
    <w:p>
      <w:pPr>
        <w:pStyle w:val="Compact"/>
        <w:numPr>
          <w:ilvl w:val="0"/>
          <w:numId w:val="1002"/>
        </w:numPr>
      </w:pPr>
      <w:r>
        <w:rPr>
          <w:b/>
          <w:bCs/>
        </w:rPr>
        <w:t xml:space="preserve">Rasio kompresi mesin:</w:t>
      </w:r>
      <w:r>
        <w:t xml:space="preserve"> </w:t>
      </w:r>
      <w:r>
        <w:t xml:space="preserve">makin rendah, penurunan makin terasa.</w:t>
      </w:r>
    </w:p>
    <w:p>
      <w:pPr>
        <w:pStyle w:val="Compact"/>
        <w:numPr>
          <w:ilvl w:val="0"/>
          <w:numId w:val="1002"/>
        </w:numPr>
      </w:pPr>
      <w:r>
        <w:rPr>
          <w:b/>
          <w:bCs/>
        </w:rPr>
        <w:t xml:space="preserve">Setelan dan kualitas instalasi</w:t>
      </w:r>
      <w:r>
        <w:rPr>
          <w:b/>
          <w:bCs/>
        </w:rPr>
        <w:t xml:space="preserve"> </w:t>
      </w:r>
      <w:r>
        <w:rPr>
          <w:b/>
          <w:bCs/>
          <w:i/>
          <w:iCs/>
        </w:rPr>
        <w:t xml:space="preserve">converter kit</w:t>
      </w:r>
      <w:r>
        <w:rPr>
          <w:b/>
          <w:bCs/>
        </w:rPr>
        <w:t xml:space="preserve">.</w:t>
      </w:r>
    </w:p>
    <w:p>
      <w:pPr>
        <w:pStyle w:val="Compact"/>
        <w:numPr>
          <w:ilvl w:val="0"/>
          <w:numId w:val="1002"/>
        </w:numPr>
      </w:pPr>
      <w:r>
        <w:rPr>
          <w:b/>
          <w:bCs/>
        </w:rPr>
        <w:t xml:space="preserve">Beban dan medan:</w:t>
      </w:r>
      <w:r>
        <w:t xml:space="preserve"> </w:t>
      </w:r>
      <w:r>
        <w:t xml:space="preserve">tanjakan serta muatan berat memperbesar jarak ke bensin.</w:t>
      </w:r>
    </w:p>
    <w:p>
      <w:pPr>
        <w:pStyle w:val="FirstParagraph"/>
      </w:pPr>
      <w:r>
        <w:t xml:space="preserve">RON gas alam di atas 120 juga tidak otomatis berarti lebih bertenaga. Oktan tinggi hanya berguna bila rasio kompresi mesin memang dinaikkan untuk memanfaatkannya. Pada konversi</w:t>
      </w:r>
      <w:r>
        <w:t xml:space="preserve"> </w:t>
      </w:r>
      <w:r>
        <w:rPr>
          <w:i/>
          <w:iCs/>
        </w:rPr>
        <w:t xml:space="preserve">retrofit</w:t>
      </w:r>
      <w:r>
        <w:t xml:space="preserve"> </w:t>
      </w:r>
      <w:r>
        <w:t xml:space="preserve">standar, yaitu mesin bensin kompresi rendah plus</w:t>
      </w:r>
      <w:r>
        <w:t xml:space="preserve"> </w:t>
      </w:r>
      <w:r>
        <w:rPr>
          <w:i/>
          <w:iCs/>
        </w:rPr>
        <w:t xml:space="preserve">converter kit</w:t>
      </w:r>
      <w:r>
        <w:t xml:space="preserve">, keunggulan oktan itu praktis terbuang, dan yang tersisa justru penurunan tenaga akibat efisiensi volumetrik.</w:t>
      </w:r>
    </w:p>
    <w:bookmarkEnd w:id="21"/>
    <w:bookmarkStart w:id="22" w:name="X4b8d711dd21f5e94bb8b8e48eb470468fa6b032"/>
    <w:p>
      <w:pPr>
        <w:pStyle w:val="Heading2"/>
      </w:pPr>
      <w:r>
        <w:t xml:space="preserve">Data Komparatif: Tenaga, Konsumsi (Jarak per LSP), dan Emisi</w:t>
      </w:r>
    </w:p>
    <w:p>
      <w:pPr>
        <w:pStyle w:val="FirstParagraph"/>
      </w:pPr>
      <w:r>
        <w:t xml:space="preserve">Angka mentah lebih mudah dibaca berdampingan. Tabel berikut menaruh Gasku/CNG dan bensin pada parameter yang sama, lengkap dengan sumbernya. Kuncinya membaca kolom catatan: sebagian angka berasal dari studi tunggal atau uji sampel kecil, sebagian dari data resmi pemerintah. Jangan menyimpulkan satu baris tanpa konteks pengukurannya.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BBG/CNG (Gasku)</w:t>
            </w:r>
          </w:p>
        </w:tc>
        <w:tc>
          <w:tcPr/>
          <w:p>
            <w:pPr>
              <w:pStyle w:val="Compact"/>
            </w:pPr>
            <w:r>
              <w:t xml:space="preserve">Bensin</w:t>
            </w:r>
          </w:p>
        </w:tc>
        <w:tc>
          <w:tcPr/>
          <w:p>
            <w:pPr>
              <w:pStyle w:val="Compact"/>
            </w:pPr>
            <w:r>
              <w:t xml:space="preserve">Sumber &amp; catatan</w:t>
            </w:r>
          </w:p>
        </w:tc>
      </w:tr>
      <w:tr>
        <w:tc>
          <w:tcPr/>
          <w:p>
            <w:pPr>
              <w:pStyle w:val="Compact"/>
            </w:pPr>
            <w:r>
              <w:t xml:space="preserve">Angka oktan (RON)</w:t>
            </w:r>
          </w:p>
        </w:tc>
        <w:tc>
          <w:tcPr/>
          <w:p>
            <w:pPr>
              <w:pStyle w:val="Compact"/>
            </w:pPr>
            <w:r>
              <w:t xml:space="preserve">&gt;120</w:t>
            </w:r>
          </w:p>
        </w:tc>
        <w:tc>
          <w:tcPr/>
          <w:p>
            <w:pPr>
              <w:pStyle w:val="Compact"/>
            </w:pPr>
            <w:r>
              <w:t xml:space="preserve">88–92 (Pertalite); 92–98 (Pertamax)</w:t>
            </w:r>
          </w:p>
        </w:tc>
        <w:tc>
          <w:tcPr/>
          <w:p>
            <w:pPr>
              <w:pStyle w:val="Compact"/>
            </w:pPr>
            <w:r>
              <w:t xml:space="preserve">ESDM (2013); spesifikasi Gasku</w:t>
            </w:r>
          </w:p>
        </w:tc>
      </w:tr>
      <w:tr>
        <w:tc>
          <w:tcPr/>
          <w:p>
            <w:pPr>
              <w:pStyle w:val="Compact"/>
            </w:pPr>
            <w:r>
              <w:t xml:space="preserve">Nilai kalor</w:t>
            </w:r>
          </w:p>
        </w:tc>
        <w:tc>
          <w:tcPr/>
          <w:p>
            <w:pPr>
              <w:pStyle w:val="Compact"/>
            </w:pPr>
            <w:r>
              <w:t xml:space="preserve">9.000–11.000 kkal/kg (~38–47 MJ/kg)</w:t>
            </w:r>
          </w:p>
        </w:tc>
        <w:tc>
          <w:tcPr/>
          <w:p>
            <w:pPr>
              <w:pStyle w:val="Compact"/>
            </w:pPr>
            <w:r>
              <w:t xml:space="preserve">~44–46 MJ/kg</w:t>
            </w:r>
          </w:p>
        </w:tc>
        <w:tc>
          <w:tcPr/>
          <w:p>
            <w:pPr>
              <w:pStyle w:val="Compact"/>
            </w:pPr>
            <w:r>
              <w:t xml:space="preserve">ESDM (2013)</w:t>
            </w:r>
          </w:p>
        </w:tc>
      </w:tr>
      <w:tr>
        <w:tc>
          <w:tcPr/>
          <w:p>
            <w:pPr>
              <w:pStyle w:val="Compact"/>
            </w:pPr>
            <w:r>
              <w:t xml:space="preserve">Tenaga &amp; torsi</w:t>
            </w:r>
          </w:p>
        </w:tc>
        <w:tc>
          <w:tcPr/>
          <w:p>
            <w:pPr>
              <w:pStyle w:val="Compact"/>
            </w:pPr>
            <w:r>
              <w:t xml:space="preserve">Turun ~10–20%; dynotest −12,4% daya, −23,7% torsi</w:t>
            </w:r>
          </w:p>
        </w:tc>
        <w:tc>
          <w:tcPr/>
          <w:p>
            <w:pPr>
              <w:pStyle w:val="Compact"/>
            </w:pPr>
            <w:r>
              <w:t xml:space="preserve">Baseline 100%</w:t>
            </w:r>
          </w:p>
        </w:tc>
        <w:tc>
          <w:tcPr/>
          <w:p>
            <w:pPr>
              <w:pStyle w:val="Compact"/>
            </w:pPr>
            <w:r>
              <w:t xml:space="preserve">IDN Times; Subekti (studi tunggal)</w:t>
            </w:r>
          </w:p>
        </w:tc>
      </w:tr>
      <w:tr>
        <w:tc>
          <w:tcPr/>
          <w:p>
            <w:pPr>
              <w:pStyle w:val="Compact"/>
            </w:pPr>
            <w:r>
              <w:t xml:space="preserve">Jarak tempuh (uji motor 2023)</w:t>
            </w:r>
          </w:p>
        </w:tc>
        <w:tc>
          <w:tcPr/>
          <w:p>
            <w:pPr>
              <w:pStyle w:val="Compact"/>
            </w:pPr>
            <w:r>
              <w:t xml:space="preserve">Rata-rata 38,7 km/LSP (37–41,6)</w:t>
            </w:r>
          </w:p>
        </w:tc>
        <w:tc>
          <w:tcPr/>
          <w:p>
            <w:pPr>
              <w:pStyle w:val="Compact"/>
            </w:pPr>
            <w:r>
              <w:t xml:space="preserve">n/a (LSP menormalkan basis energi)</w:t>
            </w:r>
          </w:p>
        </w:tc>
        <w:tc>
          <w:tcPr/>
          <w:p>
            <w:pPr>
              <w:pStyle w:val="Compact"/>
            </w:pPr>
            <w:r>
              <w:t xml:space="preserve">Uji PGN 2023, 3 sepeda motor</w:t>
            </w:r>
          </w:p>
        </w:tc>
      </w:tr>
      <w:tr>
        <w:tc>
          <w:tcPr/>
          <w:p>
            <w:pPr>
              <w:pStyle w:val="Compact"/>
            </w:pPr>
            <w:r>
              <w:t xml:space="preserve">Emisi karbon (CO2)</w:t>
            </w:r>
          </w:p>
        </w:tc>
        <w:tc>
          <w:tcPr/>
          <w:p>
            <w:pPr>
              <w:pStyle w:val="Compact"/>
            </w:pPr>
            <w:r>
              <w:t xml:space="preserve">25–35% lebih rendah</w:t>
            </w:r>
          </w:p>
        </w:tc>
        <w:tc>
          <w:tcPr/>
          <w:p>
            <w:pPr>
              <w:pStyle w:val="Compact"/>
            </w:pPr>
            <w:r>
              <w:t xml:space="preserve">Baseline 100%</w:t>
            </w:r>
          </w:p>
        </w:tc>
        <w:tc>
          <w:tcPr/>
          <w:p>
            <w:pPr>
              <w:pStyle w:val="Compact"/>
            </w:pPr>
            <w:r>
              <w:t xml:space="preserve">Swara Patra ESDM (2015); silang-cek EIA ~30%</w:t>
            </w:r>
          </w:p>
        </w:tc>
      </w:tr>
      <w:tr>
        <w:tc>
          <w:tcPr/>
          <w:p>
            <w:pPr>
              <w:pStyle w:val="Compact"/>
            </w:pPr>
            <w:r>
              <w:t xml:space="preserve">CO/HC/NOx (bi-fuel modern)</w:t>
            </w:r>
          </w:p>
        </w:tc>
        <w:tc>
          <w:tcPr/>
          <w:p>
            <w:pPr>
              <w:pStyle w:val="Compact"/>
            </w:pPr>
            <w:r>
              <w:t xml:space="preserve">Turun 7–30%; NOx bisa setara/lebih tinggi</w:t>
            </w:r>
          </w:p>
        </w:tc>
        <w:tc>
          <w:tcPr/>
          <w:p>
            <w:pPr>
              <w:pStyle w:val="Compact"/>
            </w:pPr>
            <w:r>
              <w:t xml:space="preserve">Baseline 100%</w:t>
            </w:r>
          </w:p>
        </w:tc>
        <w:tc>
          <w:tcPr/>
          <w:p>
            <w:pPr>
              <w:pStyle w:val="Compact"/>
            </w:pPr>
            <w:r>
              <w:t xml:space="preserve">Studi PEMS peer-reviewed</w:t>
            </w:r>
          </w:p>
        </w:tc>
      </w:tr>
    </w:tbl>
    <w:p>
      <w:pPr>
        <w:pStyle w:val="BodyText"/>
      </w:pPr>
      <w:r>
        <w:t xml:space="preserve">Satu baris perlu digarisbawahi. Angka 38,7 km per Liter Setara Premium (LSP) berasal dari uji coba PGN 2023 pada tiga unit sepeda motor, bukan mobil atau truk. Sampel sekecil itu berguna sebagai indikasi, bukan sebagai patokan untuk kendaraan roda empat.</w:t>
      </w:r>
    </w:p>
    <w:p>
      <w:pPr>
        <w:pStyle w:val="BodyText"/>
      </w:pPr>
      <w:r>
        <w:rPr>
          <w:i/>
          <w:iCs/>
        </w:rPr>
        <w:t xml:space="preserve">[Image 02: Bar chart sederhana membandingkan tenaga dan torsi BBG vs bensin, baseline bensin 100%, BBG turun ke ~80–90% untuk daya dan ~76% untuk torsi mengacu studi dynotest yang dikutip, dengan anotasi kecil</w:t>
      </w:r>
      <w:r>
        <w:rPr>
          <w:i/>
          <w:iCs/>
        </w:rPr>
        <w:t xml:space="preserve"> </w:t>
      </w:r>
      <w:r>
        <w:rPr>
          <w:i/>
          <w:iCs/>
        </w:rPr>
        <w:t xml:space="preserve">“berdasarkan satu studi dynotest, bukan rata-rata semua kendaraan”</w:t>
      </w:r>
      <w:r>
        <w:rPr>
          <w:i/>
          <w:iCs/>
        </w:rPr>
        <w:t xml:space="preserve">, warna biru-abu, teks Bahasa Indonesia. Alt:</w:t>
      </w:r>
      <w:r>
        <w:rPr>
          <w:i/>
          <w:iCs/>
        </w:rPr>
        <w:t xml:space="preserve"> </w:t>
      </w:r>
      <w:r>
        <w:rPr>
          <w:i/>
          <w:iCs/>
        </w:rPr>
        <w:t xml:space="preserve">“Perbandingan tenaga dan torsi BBG vs bensin”</w:t>
      </w:r>
      <w:r>
        <w:rPr>
          <w:i/>
          <w:iCs/>
        </w:rPr>
        <w:t xml:space="preserve">.]</w:t>
      </w:r>
    </w:p>
    <w:bookmarkEnd w:id="22"/>
    <w:bookmarkStart w:id="25" w:name="Xa8ba2a92e42457240b20cebabf8128a1a2eb040"/>
    <w:p>
      <w:pPr>
        <w:pStyle w:val="Heading2"/>
      </w:pPr>
      <w:r>
        <w:t xml:space="preserve">Mengurai Klaim Emisi: Kenapa Ada yang Bilang 20%, Ada yang 90%?</w:t>
      </w:r>
    </w:p>
    <w:p>
      <w:pPr>
        <w:pStyle w:val="FirstParagraph"/>
      </w:pPr>
      <w:r>
        <w:t xml:space="preserve">Karena angka-angka itu mengukur hal yang berbeda. Sekitar 20–35% biasanya merujuk emisi karbon (CO2). Angka 90% umumnya klaim untuk polutan tertentu pada kendaraan lama, bukan CO2 total. Yang menentukan besar-kecil persentase adalah basis pengukuran dan kendaraan pembanding yang dipakai, dan itu justru jarang disebutkan.</w:t>
      </w:r>
    </w:p>
    <w:p>
      <w:pPr>
        <w:pStyle w:val="BodyText"/>
      </w:pPr>
      <w:r>
        <w:t xml:space="preserve">Mulai dari yang paling kokoh. Jurnal</w:t>
      </w:r>
      <w:r>
        <w:t xml:space="preserve"> </w:t>
      </w:r>
      <w:hyperlink r:id="rId23">
        <w:r>
          <w:rPr>
            <w:rStyle w:val="Hyperlink"/>
          </w:rPr>
          <w:t xml:space="preserve">Swara Patra</w:t>
        </w:r>
      </w:hyperlink>
      <w:r>
        <w:t xml:space="preserve"> </w:t>
      </w:r>
      <w:r>
        <w:t xml:space="preserve">terbitan PPSDM Migas Kementerian ESDM (Risdyanta, 2015) menyebut BBG menghasilkan emisi karbon 25–35% lebih rendah dibanding BBM. Besaran ini konsisten dengan koefisien resmi U.S. EIA: gas alam sekitar 52,91 kg CO2 per MMBtu versus bensin motor 70,66–76,11 kg, kira-kira 30% lebih rendah per satuan energi. Inilah angka yang paling bisa dipertanggungjawabkan.</w:t>
      </w:r>
    </w:p>
    <w:p>
      <w:pPr>
        <w:pStyle w:val="BodyText"/>
      </w:pPr>
      <w:r>
        <w:t xml:space="preserve">Polutan lokal ceritanya lebih berlapis. Studi pengukuran jalan nyata (metode PEMS) pada kendaraan</w:t>
      </w:r>
      <w:r>
        <w:t xml:space="preserve"> </w:t>
      </w:r>
      <w:r>
        <w:rPr>
          <w:i/>
          <w:iCs/>
        </w:rPr>
        <w:t xml:space="preserve">bi-fuel</w:t>
      </w:r>
      <w:r>
        <w:t xml:space="preserve"> </w:t>
      </w:r>
      <w:r>
        <w:t xml:space="preserve">modern menemukan CO, HC, dan NOx rata-rata hanya turun 7–30% dibanding mode bensinnya. Yang jarang diakui: NOx pada CNG bisa setara, bahkan sedikit lebih tinggi. Narasi</w:t>
      </w:r>
      <w:r>
        <w:t xml:space="preserve"> </w:t>
      </w:r>
      <w:r>
        <w:t xml:space="preserve">“semua emisi BBG pasti lebih rendah”</w:t>
      </w:r>
      <w:r>
        <w:t xml:space="preserve"> </w:t>
      </w:r>
      <w:r>
        <w:t xml:space="preserve">tidak sepenuhnya benar, dan kejujuran soal ini penting bagi calon pengguna.</w:t>
      </w:r>
    </w:p>
    <w:p>
      <w:pPr>
        <w:pStyle w:val="BodyText"/>
      </w:pPr>
      <w:r>
        <w:t xml:space="preserve">Lalu dari mana angka 90%? Klaim</w:t>
      </w:r>
      <w:r>
        <w:t xml:space="preserve"> </w:t>
      </w:r>
      <w:r>
        <w:t xml:space="preserve">“BBG 90% lebih ramah lingkungan”</w:t>
      </w:r>
      <w:r>
        <w:t xml:space="preserve"> </w:t>
      </w:r>
      <w:r>
        <w:t xml:space="preserve">berasal dari pernyataan Komite Penghapusan Bensin Bertimbal (KPBB), berbasis uji emisi tahun 2008 pada kendaraan standar Euro 2. Kendaraan modern rata-rata sudah Euro 4, jadi itu konteks historis, bukan fakta universal terkini. Adapun angka 95% yang kadang beredar tak punya sumber utama yang bisa diverifikasi, dan sebaiknya diabaikan. Pegangannya sederhana: percayai angka yang basis pengukurannya jelas, dan klaim resmi 25–35% untuk karbon lebih</w:t>
      </w:r>
      <w:r>
        <w:t xml:space="preserve"> </w:t>
      </w:r>
      <w:r>
        <w:rPr>
          <w:i/>
          <w:iCs/>
        </w:rPr>
        <w:t xml:space="preserve">defensible</w:t>
      </w:r>
      <w:r>
        <w:t xml:space="preserve"> </w:t>
      </w:r>
      <w:r>
        <w:t xml:space="preserve">daripada angka 90% ke atas yang baselinenya kabur.</w:t>
      </w:r>
    </w:p>
    <w:p>
      <w:pPr>
        <w:pStyle w:val="BodyText"/>
      </w:pPr>
      <w:r>
        <w:t xml:space="preserve">Manfaat pembakaran bersih ini pun tidak berhenti di kendaraan. Di sektor industri dan komersial, gas bumi yang disalurkan lewat</w:t>
      </w:r>
      <w:r>
        <w:t xml:space="preserve"> </w:t>
      </w:r>
      <w:hyperlink r:id="rId24">
        <w:r>
          <w:rPr>
            <w:rStyle w:val="Hyperlink"/>
          </w:rPr>
          <w:t xml:space="preserve">Gaslink</w:t>
        </w:r>
      </w:hyperlink>
      <w:r>
        <w:t xml:space="preserve"> </w:t>
      </w:r>
      <w:r>
        <w:t xml:space="preserve">memberi keunggulan emisi dan efisiensi serupa untuk boiler serta peralatan termal, tanpa persoalan katup khas mesin torak.</w:t>
      </w:r>
    </w:p>
    <w:p>
      <w:pPr>
        <w:pStyle w:val="BodyText"/>
      </w:pPr>
      <w:r>
        <w:rPr>
          <w:i/>
          <w:iCs/>
        </w:rPr>
        <w:t xml:space="preserve">[Image 03: Infografik tiga kolom</w:t>
      </w:r>
      <w:r>
        <w:rPr>
          <w:i/>
          <w:iCs/>
        </w:rPr>
        <w:t xml:space="preserve"> </w:t>
      </w:r>
      <w:r>
        <w:rPr>
          <w:i/>
          <w:iCs/>
        </w:rPr>
        <w:t xml:space="preserve">“peta rekonsiliasi klaim emisi”</w:t>
      </w:r>
      <w:r>
        <w:rPr>
          <w:i/>
          <w:iCs/>
        </w:rPr>
        <w:t xml:space="preserve">: (1) Karbon/CO2 ~25–35% dengan sumber ESDM/EIA, warna hijau; (2) Polutan lokal CO/HC/NOx real-world ~7–30% dengan catatan</w:t>
      </w:r>
      <w:r>
        <w:rPr>
          <w:i/>
          <w:iCs/>
        </w:rPr>
        <w:t xml:space="preserve"> </w:t>
      </w:r>
      <w:r>
        <w:rPr>
          <w:i/>
          <w:iCs/>
        </w:rPr>
        <w:t xml:space="preserve">“NOx bisa setara/lebih tinggi”</w:t>
      </w:r>
      <w:r>
        <w:rPr>
          <w:i/>
          <w:iCs/>
        </w:rPr>
        <w:t xml:space="preserve">, warna kuning; (3) Klaim historis 90% ke atas berlabel</w:t>
      </w:r>
      <w:r>
        <w:rPr>
          <w:i/>
          <w:iCs/>
        </w:rPr>
        <w:t xml:space="preserve"> </w:t>
      </w:r>
      <w:r>
        <w:rPr>
          <w:i/>
          <w:iCs/>
        </w:rPr>
        <w:t xml:space="preserve">“konteks lama/Euro 2, perlu verifikasi”</w:t>
      </w:r>
      <w:r>
        <w:rPr>
          <w:i/>
          <w:iCs/>
        </w:rPr>
        <w:t xml:space="preserve">, warna abu. Ikon knalpot dan molekul gas, teks Bahasa Indonesia ringkas per kolom. Alt:</w:t>
      </w:r>
      <w:r>
        <w:rPr>
          <w:i/>
          <w:iCs/>
        </w:rPr>
        <w:t xml:space="preserve"> </w:t>
      </w:r>
      <w:r>
        <w:rPr>
          <w:i/>
          <w:iCs/>
        </w:rPr>
        <w:t xml:space="preserve">“Peta rekonsiliasi klaim penurunan emisi BBG”</w:t>
      </w:r>
      <w:r>
        <w:rPr>
          <w:i/>
          <w:iCs/>
        </w:rPr>
        <w:t xml:space="preserve">.]</w:t>
      </w:r>
    </w:p>
    <w:bookmarkEnd w:id="25"/>
    <w:bookmarkStart w:id="32" w:name="faq-pertanyaan-yang-sering-diajukan"/>
    <w:p>
      <w:pPr>
        <w:pStyle w:val="Heading2"/>
      </w:pPr>
      <w:r>
        <w:t xml:space="preserve">FAQ (Pertanyaan yang Sering Diajukan)</w:t>
      </w:r>
    </w:p>
    <w:bookmarkStart w:id="26" w:name="X1d1fd77015b211990f2b91a1da6f4fb0f4bd5e1"/>
    <w:p>
      <w:pPr>
        <w:pStyle w:val="Heading3"/>
      </w:pPr>
      <w:r>
        <w:t xml:space="preserve">Apakah BBG membuat mobil terasa lebih lambat saat dikendarai?</w:t>
      </w:r>
    </w:p>
    <w:p>
      <w:pPr>
        <w:pStyle w:val="FirstParagraph"/>
      </w:pPr>
      <w:r>
        <w:t xml:space="preserve">Untuk pemakaian normal di jalan datar dan dalam kota, sebagian besar pengemudi tidak merasakan perbedaan berarti. Selisih baru jelas pada beban tinggi: menanjak, muatan penuh, atau akselerasi mendadak, karena di situlah efisiensi volumetrik yang lebih rendah paling menekan tenaga puncak mesin.</w:t>
      </w:r>
    </w:p>
    <w:bookmarkEnd w:id="26"/>
    <w:bookmarkStart w:id="27" w:name="X13ecc1aff9d62e38897cf74b1e43cd44b28f6ca"/>
    <w:p>
      <w:pPr>
        <w:pStyle w:val="Heading3"/>
      </w:pPr>
      <w:r>
        <w:t xml:space="preserve">Apakah jarak tempuh kendaraan BBG per pengisian lebih pendek dibanding bensin?</w:t>
      </w:r>
    </w:p>
    <w:p>
      <w:pPr>
        <w:pStyle w:val="FirstParagraph"/>
      </w:pPr>
      <w:r>
        <w:t xml:space="preserve">Satuannya berbeda, memakai Liter Setara Premium (LSP), bukan liter fisik. Uji coba PGN 2023 pada tiga sepeda motor mencatat rata-rata 38,7 km/LSP (rentang 37–41,6 km/LSP). Data ini spesifik untuk sepeda motor dan sampelnya kecil, jadi belum bisa digeneralisasi ke mobil, bus, atau truk.</w:t>
      </w:r>
    </w:p>
    <w:bookmarkEnd w:id="27"/>
    <w:bookmarkStart w:id="28" w:name="X5e65473ee59e2f0ef42922b9040b7e6d73041ac"/>
    <w:p>
      <w:pPr>
        <w:pStyle w:val="Heading3"/>
      </w:pPr>
      <w:r>
        <w:t xml:space="preserve">Emisi apa yang paling signifikan berkurang dari kendaraan BBG?</w:t>
      </w:r>
    </w:p>
    <w:p>
      <w:pPr>
        <w:pStyle w:val="FirstParagraph"/>
      </w:pPr>
      <w:r>
        <w:t xml:space="preserve">Emisi karbon (CO2), sekitar 25–35% lebih rendah dibanding BBM menurut jurnal PPSDM Migas Kementerian ESDM (2015), sejalan dengan koefisien EIA yang menunjukkan gas alam kira-kira 30% lebih rendah per satuan energi. Untuk polutan lokal seperti CO dan HC, penurunannya bervariasi tergantung teknologi kendaraan yang dibandingkan.</w:t>
      </w:r>
    </w:p>
    <w:bookmarkEnd w:id="28"/>
    <w:bookmarkStart w:id="29" w:name="X054e9b7fa7074dce48a4630565216785eca9c73"/>
    <w:p>
      <w:pPr>
        <w:pStyle w:val="Heading3"/>
      </w:pPr>
      <w:r>
        <w:t xml:space="preserve">Mengapa BBG disebut menghasilkan pembakaran yang lebih sempurna?</w:t>
      </w:r>
    </w:p>
    <w:p>
      <w:pPr>
        <w:pStyle w:val="FirstParagraph"/>
      </w:pPr>
      <w:r>
        <w:t xml:space="preserve">Gas metana bercampur lebih homogen dengan udara dibanding bahan bakar cair yang perlu diuapkan lebih dulu, sehingga pembakaran lebih merata dan menyisakan lebih sedikit residu karbon. Angka oktan gas alam yang tinggi (RON &gt;120) memperkuat sifat ini. Itulah dasar teknis di balik istilah</w:t>
      </w:r>
      <w:r>
        <w:t xml:space="preserve"> </w:t>
      </w:r>
      <w:r>
        <w:t xml:space="preserve">“pembakaran lebih sempurna”</w:t>
      </w:r>
      <w:r>
        <w:t xml:space="preserve">.</w:t>
      </w:r>
    </w:p>
    <w:bookmarkEnd w:id="29"/>
    <w:bookmarkStart w:id="30" w:name="X352e7c04701656fa23dc87311ad770e6ba4163a"/>
    <w:p>
      <w:pPr>
        <w:pStyle w:val="Heading3"/>
      </w:pPr>
      <w:r>
        <w:t xml:space="preserve">Apakah RON gas alam di atas 120 otomatis membuat mesin lebih bertenaga?</w:t>
      </w:r>
    </w:p>
    <w:p>
      <w:pPr>
        <w:pStyle w:val="FirstParagraph"/>
      </w:pPr>
      <w:r>
        <w:t xml:space="preserve">Tidak. RON tinggi hanya berarti bahan bakar lebih tahan knocking, sehingga aman dipakai pada mesin berkompresi tinggi. Pada mesin bensin standar yang dikonversi lewat converter kit, potensi itu tidak otomatis menjadi tenaga ekstra; penurunan tenaga akibat efisiensi volumetrik justru lebih dominan terasa.</w:t>
      </w:r>
    </w:p>
    <w:bookmarkEnd w:id="30"/>
    <w:bookmarkStart w:id="31" w:name="Xf553a1a15d7a564af22f535a0f8bda66cb54294"/>
    <w:p>
      <w:pPr>
        <w:pStyle w:val="Heading3"/>
      </w:pPr>
      <w:r>
        <w:t xml:space="preserve">Apakah menggunakan BBG bisa merusak mesin kendaraan?</w:t>
      </w:r>
    </w:p>
    <w:p>
      <w:pPr>
        <w:pStyle w:val="FirstParagraph"/>
      </w:pPr>
      <w:r>
        <w:t xml:space="preserve">Tidak secara otomatis. Pembakaran BBG yang lebih bersih justru mengurangi deposit karbon dan pengenceran oli, sehingga mesin cenderung lebih awet (Kementerian ESDM, 2022). Namun gas tidak melumasi katup seperti bahan bakar cair, sehingga dudukan katup berisiko aus (</w:t>
      </w:r>
      <w:r>
        <w:rPr>
          <w:i/>
          <w:iCs/>
        </w:rPr>
        <w:t xml:space="preserve">valve seat recession</w:t>
      </w:r>
      <w:r>
        <w:t xml:space="preserve">) bila converter kit tidak sesuai spesifikasi atau oli tidak diganti sesuai anjuran; pemasangan di bengkel bersertifikat menekan risiko ini.</w:t>
      </w:r>
    </w:p>
    <w:bookmarkEnd w:id="31"/>
    <w:bookmarkEnd w:id="32"/>
    <w:bookmarkStart w:id="33" w:name="kesimpulan"/>
    <w:p>
      <w:pPr>
        <w:pStyle w:val="Heading2"/>
      </w:pPr>
      <w:r>
        <w:t xml:space="preserve">Kesimpulan</w:t>
      </w:r>
    </w:p>
    <w:p>
      <w:pPr>
        <w:pStyle w:val="FirstParagraph"/>
      </w:pPr>
      <w:r>
        <w:t xml:space="preserve">Kembali ke dua pertanyaan di awal: tenaga BBG memang turun, umumnya 10–20% dan paling terasa saat menanjak, sementara manfaat emisinya paling kokoh pada karbon (25–35% lebih rendah), bukan pada angka 90% yang basisnya kabur. Membaca performa dan emisi apa adanya, lengkap dengan konteks pengukuran, membuat keputusan konversi jauh lebih tenang. Sebagai anak usaha PGN yang merupakan bagian dari Subholding Gas Pertamina, PGN Gagas menyalurkan gas bumi yang lebih bersih dan efisien ke sektor transportasi lewat layanan BBG Gasku, termasuk ke wilayah yang belum terjangkau jaringan pipa. Jika Anda menimbang konversi armada, mulailah dari profil pemakaian nyata, bukan dari satu angka sakti.</w:t>
      </w:r>
    </w:p>
    <w:p>
      <w:pPr>
        <w:pStyle w:val="BodyText"/>
      </w:pPr>
      <w:r>
        <w:t xml:space="preserve">Untuk menakar penghematan dan kesiapan armada Anda beralih ke BBG, telusuri layanan Gasku di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4"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3" Target="https://journal.esdm.go.id/swarapatra/article/view/1158" TargetMode="External" /><Relationship Type="http://schemas.openxmlformats.org/officeDocument/2006/relationships/hyperlink" Id="rId19" Target="https://migas.esdm.go.id/post/read/Diversifikasi-BBM-ke-Bahan-Bakar-Gas-Pada-Sektor-Transportasi"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4"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3" Target="https://journal.esdm.go.id/swarapatra/article/view/1158" TargetMode="External" /><Relationship Type="http://schemas.openxmlformats.org/officeDocument/2006/relationships/hyperlink" Id="rId19" Target="https://migas.esdm.go.id/post/read/Diversifikasi-BBM-ke-Bahan-Bakar-Gas-Pada-Sektor-Transportas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2026-08-11T07:59:07Z</dcterms:created>
  <dcterms:modified xsi:type="dcterms:W3CDTF">2026-08-11T07:59:07Z</dcterms:modified>
</cp:coreProperties>
</file>

<file path=docProps/custom.xml><?xml version="1.0" encoding="utf-8"?>
<Properties xmlns="http://schemas.openxmlformats.org/officeDocument/2006/custom-properties" xmlns:vt="http://schemas.openxmlformats.org/officeDocument/2006/docPropsVTypes"/>
</file>