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"Gaslink dan Kredit Karbon: Ubah Pengurangan Emisi Jadi Aset"</w:t>
      </w:r>
      <w:r>
        <w:br/>
      </w:r>
      <w:r>
        <w:rPr>
          <w:rStyle w:val="FunctionTok"/>
        </w:rPr>
        <w:t xml:space="preserve">meta_title</w:t>
      </w:r>
      <w:r>
        <w:rPr>
          <w:rStyle w:val="KeywordTok"/>
        </w:rPr>
        <w:t xml:space="preserve">:</w:t>
      </w:r>
      <w:r>
        <w:rPr>
          <w:rStyle w:val="AttributeTok"/>
        </w:rPr>
        <w:t xml:space="preserve"> </w:t>
      </w:r>
      <w:r>
        <w:rPr>
          <w:rStyle w:val="StringTok"/>
        </w:rPr>
        <w:t xml:space="preserve">"Gaslink &amp; Kredit Karbon: Cara Kerja SPE-GRK"</w:t>
      </w:r>
      <w:r>
        <w:br/>
      </w:r>
      <w:r>
        <w:rPr>
          <w:rStyle w:val="FunctionTok"/>
        </w:rPr>
        <w:t xml:space="preserve">meta_description</w:t>
      </w:r>
      <w:r>
        <w:rPr>
          <w:rStyle w:val="KeywordTok"/>
        </w:rPr>
        <w:t xml:space="preserve">:</w:t>
      </w:r>
      <w:r>
        <w:rPr>
          <w:rStyle w:val="AttributeTok"/>
        </w:rPr>
        <w:t xml:space="preserve"> </w:t>
      </w:r>
      <w:r>
        <w:rPr>
          <w:rStyle w:val="StringTok"/>
        </w:rPr>
        <w:t xml:space="preserve">"Bisakah pabrik yang beralih ke Gaslink menjual pengurangan emisi sebagai kredit karbon? Pahami SPE-GRK, uji additionality, dan kapan monetisasi realistis."</w:t>
      </w:r>
      <w:r>
        <w:br/>
      </w:r>
      <w:r>
        <w:rPr>
          <w:rStyle w:val="FunctionTok"/>
        </w:rPr>
        <w:t xml:space="preserve">slug</w:t>
      </w:r>
      <w:r>
        <w:rPr>
          <w:rStyle w:val="KeywordTok"/>
        </w:rPr>
        <w:t xml:space="preserve">:</w:t>
      </w:r>
      <w:r>
        <w:rPr>
          <w:rStyle w:val="AttributeTok"/>
        </w:rPr>
        <w:t xml:space="preserve"> </w:t>
      </w:r>
      <w:r>
        <w:rPr>
          <w:rStyle w:val="StringTok"/>
        </w:rPr>
        <w:t xml:space="preserve">"gaslink-kredit-karbon-spe-grk"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"kredit karbon"</w:t>
      </w:r>
      <w:r>
        <w:rPr>
          <w:rStyle w:val="KeywordTok"/>
        </w:rPr>
        <w:t xml:space="preserve">,</w:t>
      </w:r>
      <w:r>
        <w:rPr>
          <w:rStyle w:val="AttributeTok"/>
        </w:rPr>
        <w:t xml:space="preserve"> </w:t>
      </w:r>
      <w:r>
        <w:rPr>
          <w:rStyle w:val="StringTok"/>
        </w:rPr>
        <w:t xml:space="preserve">"SPE-GRK"</w:t>
      </w:r>
      <w:r>
        <w:rPr>
          <w:rStyle w:val="KeywordTok"/>
        </w:rPr>
        <w:t xml:space="preserve">,</w:t>
      </w:r>
      <w:r>
        <w:rPr>
          <w:rStyle w:val="AttributeTok"/>
        </w:rPr>
        <w:t xml:space="preserve"> </w:t>
      </w:r>
      <w:r>
        <w:rPr>
          <w:rStyle w:val="StringTok"/>
        </w:rPr>
        <w:t xml:space="preserve">"IDXCarbon"</w:t>
      </w:r>
      <w:r>
        <w:rPr>
          <w:rStyle w:val="KeywordTok"/>
        </w:rPr>
        <w:t xml:space="preserve">,</w:t>
      </w:r>
      <w:r>
        <w:rPr>
          <w:rStyle w:val="AttributeTok"/>
        </w:rPr>
        <w:t xml:space="preserve"> </w:t>
      </w:r>
      <w:r>
        <w:rPr>
          <w:rStyle w:val="StringTok"/>
        </w:rPr>
        <w:t xml:space="preserve">"additionality"</w:t>
      </w:r>
      <w:r>
        <w:rPr>
          <w:rStyle w:val="KeywordTok"/>
        </w:rPr>
        <w:t xml:space="preserve">,</w:t>
      </w:r>
      <w:r>
        <w:rPr>
          <w:rStyle w:val="AttributeTok"/>
        </w:rPr>
        <w:t xml:space="preserve"> </w:t>
      </w:r>
      <w:r>
        <w:rPr>
          <w:rStyle w:val="StringTok"/>
        </w:rPr>
        <w:t xml:space="preserve">"MRV"</w:t>
      </w:r>
      <w:r>
        <w:rPr>
          <w:rStyle w:val="KeywordTok"/>
        </w:rPr>
        <w:t xml:space="preserve">,</w:t>
      </w:r>
      <w:r>
        <w:rPr>
          <w:rStyle w:val="AttributeTok"/>
        </w:rPr>
        <w:t xml:space="preserve"> </w:t>
      </w:r>
      <w:r>
        <w:rPr>
          <w:rStyle w:val="StringTok"/>
        </w:rPr>
        <w:t xml:space="preserve">"SRN PPI"</w:t>
      </w:r>
      <w:r>
        <w:rPr>
          <w:rStyle w:val="KeywordTok"/>
        </w:rPr>
        <w:t xml:space="preserve">,</w:t>
      </w:r>
      <w:r>
        <w:rPr>
          <w:rStyle w:val="AttributeTok"/>
        </w:rPr>
        <w:t xml:space="preserve"> </w:t>
      </w:r>
      <w:r>
        <w:rPr>
          <w:rStyle w:val="StringTok"/>
        </w:rPr>
        <w:t xml:space="preserve">"Nilai Ekonomi Karbon"</w:t>
      </w:r>
      <w:r>
        <w:rPr>
          <w:rStyle w:val="KeywordTok"/>
        </w:rPr>
        <w:t xml:space="preserve">,</w:t>
      </w:r>
      <w:r>
        <w:rPr>
          <w:rStyle w:val="AttributeTok"/>
        </w:rPr>
        <w:t xml:space="preserve"> </w:t>
      </w:r>
      <w:r>
        <w:rPr>
          <w:rStyle w:val="StringTok"/>
        </w:rPr>
        <w:t xml:space="preserve">"fuel switching gas bumi"</w:t>
      </w:r>
      <w:r>
        <w:rPr>
          <w:rStyle w:val="KeywordTok"/>
        </w:rPr>
        <w:t xml:space="preserve">,</w:t>
      </w:r>
      <w:r>
        <w:rPr>
          <w:rStyle w:val="AttributeTok"/>
        </w:rPr>
        <w:t xml:space="preserve"> </w:t>
      </w:r>
      <w:r>
        <w:rPr>
          <w:rStyle w:val="StringTok"/>
        </w:rPr>
        <w:t xml:space="preserve">"perdagangan karbon"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"https://www.eia.gov/environment/emissions/co2_vol_mass.php"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"Faktor emisi CO2 pembakaran gas bumi vs LPG vs solar per MMBtu (EIA, data 2022, dirilis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"https://idxcarbon.co.id/id/product-spe-grk"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SPE-GRK dan empat mekanisme perdagangan di IDXCarbon"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"https://ojk.go.id/en/Fungsi-Utama/Pasar-Modal/Pelaku-Pasar-Modal/Pages/Penyelenggara-Bursa-Karbon.aspx"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"Pengawasan OJK, lisensi tunggal BEI, dan perbedaan PTBAE-PU vs SPE-GRK"</w:t>
      </w:r>
      <w:r>
        <w:br/>
      </w:r>
      <w:r>
        <w:rPr>
          <w:rStyle w:val="FunctionTok"/>
        </w:rPr>
        <w:t xml:space="preserve">brief_id</w:t>
      </w:r>
      <w:r>
        <w:rPr>
          <w:rStyle w:val="KeywordTok"/>
        </w:rPr>
        <w:t xml:space="preserve">:</w:t>
      </w:r>
      <w:r>
        <w:rPr>
          <w:rStyle w:val="AttributeTok"/>
        </w:rPr>
        <w:t xml:space="preserve"> </w:t>
      </w:r>
      <w:r>
        <w:rPr>
          <w:rStyle w:val="StringTok"/>
        </w:rPr>
        <w:t xml:space="preserve">"gaslink-01"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1551</w:t>
      </w:r>
    </w:p>
    <w:p>
      <w:r>
        <w:pict>
          <v:rect style="width:0;height:1.5pt" o:hralign="center" o:hrstd="t" o:hr="t"/>
        </w:pict>
      </w:r>
    </w:p>
    <w:bookmarkEnd w:id="16"/>
    <w:bookmarkStart w:id="34" w:name="Xc26343b769b24a4f3b912ccfad12c1ca7c8a047"/>
    <w:p>
      <w:pPr>
        <w:pStyle w:val="Heading1"/>
      </w:pPr>
      <w:r>
        <w:t xml:space="preserve">Gaslink dan Kredit Karbon: Ubah Pengurangan Emisi Jadi Aset</w:t>
      </w:r>
    </w:p>
    <w:p>
      <w:pPr>
        <w:pStyle w:val="FirstParagraph"/>
      </w:pPr>
      <w:r>
        <w:t xml:space="preserve">Manajer pabrik yang sudah mengganti solar atau LPG dengan gas bumi tahu satu hal pasti: tagihan energi turun dan emisi ikut turun. Sejak Bursa Karbon Indonesia aktif, muncul pertanyaan yang bernilai uang, bisakah pengurangan emisi dari beralih ke</w:t>
      </w:r>
      <w:r>
        <w:t xml:space="preserve"> </w:t>
      </w:r>
      <w:hyperlink r:id="rId17">
        <w:r>
          <w:rPr>
            <w:rStyle w:val="Hyperlink"/>
          </w:rPr>
          <w:t xml:space="preserve">Gaslink</w:t>
        </w:r>
      </w:hyperlink>
      <w:r>
        <w:t xml:space="preserve"> </w:t>
      </w:r>
      <w:r>
        <w:t xml:space="preserve">dijual sebagai kredit karbon? Jawabannya tidak sesederhana yang sering dijanjikan. Artikel ini membedah cara kerja SPE-GRK, syarat</w:t>
      </w:r>
      <w:r>
        <w:t xml:space="preserve"> </w:t>
      </w:r>
      <w:r>
        <w:rPr>
          <w:i/>
          <w:iCs/>
        </w:rPr>
        <w:t xml:space="preserve">additionality</w:t>
      </w:r>
      <w:r>
        <w:t xml:space="preserve"> </w:t>
      </w:r>
      <w:r>
        <w:t xml:space="preserve">yang justru menggugurkan banyak proyek</w:t>
      </w:r>
      <w:r>
        <w:t xml:space="preserve"> </w:t>
      </w:r>
      <w:r>
        <w:rPr>
          <w:i/>
          <w:iCs/>
        </w:rPr>
        <w:t xml:space="preserve">fuel switching</w:t>
      </w:r>
      <w:r>
        <w:t xml:space="preserve">, dan kapan monetisasi karbon benar-benar realistis.</w:t>
      </w:r>
    </w:p>
    <w:p>
      <w:pPr>
        <w:pStyle w:val="BlockText"/>
      </w:pPr>
      <w:r>
        <w:rPr>
          <w:b/>
          <w:bCs/>
        </w:rPr>
        <w:t xml:space="preserve">Ringkasnya:</w:t>
      </w:r>
      <w:r>
        <w:t xml:space="preserve"> </w:t>
      </w:r>
      <w:r>
        <w:t xml:space="preserve">SPE-GRK (Sertifikat Pengurangan Emisi-Gas Rumah Kaca) adalah bukti resmi bahwa suatu kegiatan usaha berhasil menurunkan emisi gas rumah kaca setelah melalui proses Pengukuran, Pelaporan, dan Verifikasi (MRV) serta tercatat di Sistem Registri Nasional Pengendalian Perubahan Iklim (SRN PPI). Setelah terbit, sertifikat ini, dikenal juga sebagai kredit karbon, dapat diperdagangkan di Bursa Karbon Indonesia (IDXCarbon).</w:t>
      </w:r>
    </w:p>
    <w:bookmarkStart w:id="20" w:name="X1320f926589ad94e9dbde3b2c65168868c69ac1"/>
    <w:p>
      <w:pPr>
        <w:pStyle w:val="Heading2"/>
      </w:pPr>
      <w:r>
        <w:t xml:space="preserve">Apa Itu Kredit Karbon (SPE-GRK) dan Kaitannya dengan Gaslink?</w:t>
      </w:r>
    </w:p>
    <w:p>
      <w:pPr>
        <w:pStyle w:val="FirstParagraph"/>
      </w:pPr>
      <w:r>
        <w:t xml:space="preserve">Kredit karbon di Indonesia berbentuk SPE-GRK, sertifikat yang membuktikan satu ton emisi CO2 berhasil dikurangi dan diverifikasi. Beralih ke gas bumi, misalnya lewat Gaslink, memang menurunkan emisi pembakaran secara terukur. Tetapi penurunan itu baru menjadi</w:t>
      </w:r>
      <w:r>
        <w:t xml:space="preserve"> </w:t>
      </w:r>
      <w:r>
        <w:t xml:space="preserve">“aset”</w:t>
      </w:r>
      <w:r>
        <w:t xml:space="preserve"> </w:t>
      </w:r>
      <w:r>
        <w:t xml:space="preserve">bila lolos verifikasi resmi dan tercatat di sistem registri nasional.</w:t>
      </w:r>
    </w:p>
    <w:p>
      <w:pPr>
        <w:pStyle w:val="BodyText"/>
      </w:pPr>
      <w:r>
        <w:rPr>
          <w:i/>
          <w:iCs/>
        </w:rPr>
        <w:t xml:space="preserve">Fuel switching</w:t>
      </w:r>
      <w:r>
        <w:t xml:space="preserve"> </w:t>
      </w:r>
      <w:r>
        <w:t xml:space="preserve">(peralihan bahan bakar) ke gas bumi menurunkan emisi karena gas membakar lebih bersih per unit energi. Menurut</w:t>
      </w:r>
      <w:r>
        <w:t xml:space="preserve"> </w:t>
      </w:r>
      <w:hyperlink r:id="rId18">
        <w:r>
          <w:rPr>
            <w:rStyle w:val="Hyperlink"/>
          </w:rPr>
          <w:t xml:space="preserve">data faktor emisi U.S. Energy Information Administration (EIA, dirilis 2024)</w:t>
        </w:r>
      </w:hyperlink>
      <w:r>
        <w:t xml:space="preserve">, gas bumi melepas sekitar 52,91 kg CO2 per MMBtu, dibanding LPG 62,88 kg dan solar 74,14 kg. Untuk pabrik yang beralih dari solar ke CNG (</w:t>
      </w:r>
      <w:r>
        <w:rPr>
          <w:i/>
          <w:iCs/>
        </w:rPr>
        <w:t xml:space="preserve">Compressed Natural Gas</w:t>
      </w:r>
      <w:r>
        <w:t xml:space="preserve">), selisih ini nyata dan langsung memengaruhi jejak karbon operasional.</w:t>
      </w:r>
    </w:p>
    <w:p>
      <w:pPr>
        <w:pStyle w:val="BodyText"/>
      </w:pPr>
      <w:r>
        <w:t xml:space="preserve">Namun ada garis yang sering kabur: menurunkan emisi tidak sama dengan memiliki kredit karbon yang bisa dijual. Yang pertama hasil teknis, yang kedua aset finansial yang harus melewati sertifikasi. Konteks</w:t>
      </w:r>
      <w:r>
        <w:t xml:space="preserve"> </w:t>
      </w:r>
      <w:hyperlink r:id="rId19">
        <w:r>
          <w:rPr>
            <w:rStyle w:val="Hyperlink"/>
          </w:rPr>
          <w:t xml:space="preserve">CNG di Indonesia</w:t>
        </w:r>
      </w:hyperlink>
      <w:r>
        <w:t xml:space="preserve"> </w:t>
      </w:r>
      <w:r>
        <w:t xml:space="preserve">sebagai energi transisi membantu, tetapi jalur dari</w:t>
      </w:r>
      <w:r>
        <w:t xml:space="preserve"> </w:t>
      </w:r>
      <w:r>
        <w:t xml:space="preserve">“lebih bersih”</w:t>
      </w:r>
      <w:r>
        <w:t xml:space="preserve"> </w:t>
      </w:r>
      <w:r>
        <w:t xml:space="preserve">ke</w:t>
      </w:r>
      <w:r>
        <w:t xml:space="preserve"> </w:t>
      </w:r>
      <w:r>
        <w:t xml:space="preserve">“bisa dijual”</w:t>
      </w:r>
      <w:r>
        <w:t xml:space="preserve"> </w:t>
      </w:r>
      <w:r>
        <w:t xml:space="preserve">punya aturan tersendiri.</w:t>
      </w:r>
    </w:p>
    <w:p>
      <w:pPr>
        <w:pStyle w:val="BodyText"/>
      </w:pPr>
      <w:r>
        <w:rPr>
          <w:i/>
          <w:iCs/>
        </w:rPr>
        <w:t xml:space="preserve">[Image 01: Bar chart perbandingan faktor emisi CO2 tiga bahan bakar, tiga batang berlabel gas bumi 52,91, LPG 62,88, dan solar 74,14 kg CO2/MMBtu. Gradasi warna hijau (gas bumi, terendah) ke merah (solar, tertinggi), keterangan sumber</w:t>
      </w:r>
      <w:r>
        <w:rPr>
          <w:i/>
          <w:iCs/>
        </w:rPr>
        <w:t xml:space="preserve"> </w:t>
      </w:r>
      <w:r>
        <w:rPr>
          <w:i/>
          <w:iCs/>
        </w:rPr>
        <w:t xml:space="preserve">“EIA, data 2022 (dirilis 2024)”</w:t>
      </w:r>
      <w:r>
        <w:rPr>
          <w:i/>
          <w:iCs/>
        </w:rPr>
        <w:t xml:space="preserve">, gaya korporat bersih, teks Bahasa Indonesia. Alt:</w:t>
      </w:r>
      <w:r>
        <w:rPr>
          <w:i/>
          <w:iCs/>
        </w:rPr>
        <w:t xml:space="preserve"> </w:t>
      </w:r>
      <w:r>
        <w:rPr>
          <w:i/>
          <w:iCs/>
        </w:rPr>
        <w:t xml:space="preserve">“Perbandingan faktor emisi CO2 gas bumi, LPG, dan solar per MMBtu”</w:t>
      </w:r>
      <w:r>
        <w:rPr>
          <w:i/>
          <w:iCs/>
        </w:rPr>
        <w:t xml:space="preserve">]</w:t>
      </w:r>
    </w:p>
    <w:bookmarkEnd w:id="20"/>
    <w:bookmarkStart w:id="22" w:name="Xb29231f305ee4195da74eaccfeea4d4ab4bb2e7"/>
    <w:p>
      <w:pPr>
        <w:pStyle w:val="Heading2"/>
      </w:pPr>
      <w:r>
        <w:t xml:space="preserve">Bagaimana Pengurangan Emisi Bisa Berubah Jadi Kredit yang Diperdagangkan?</w:t>
      </w:r>
    </w:p>
    <w:p>
      <w:pPr>
        <w:pStyle w:val="FirstParagraph"/>
      </w:pPr>
      <w:r>
        <w:t xml:space="preserve">Pengurangan emisi menjadi kredit yang diperdagangkan lewat rantai bertahap: menetapkan</w:t>
      </w:r>
      <w:r>
        <w:t xml:space="preserve"> </w:t>
      </w:r>
      <w:r>
        <w:rPr>
          <w:i/>
          <w:iCs/>
        </w:rPr>
        <w:t xml:space="preserve">baseline</w:t>
      </w:r>
      <w:r>
        <w:t xml:space="preserve">, menjalankan aksi mitigasi, lalu MRV (Pengukuran, Pelaporan, Verifikasi), pencatatan di SRN PPI, penerbitan SPE-GRK, dan akhirnya perdagangan di IDXCarbon. Setiap tahap wajib dilalui sebelum sertifikat sah menjadi aset yang laku.</w:t>
      </w:r>
    </w:p>
    <w:p>
      <w:pPr>
        <w:pStyle w:val="BodyText"/>
      </w:pPr>
      <w:r>
        <w:t xml:space="preserve">Kerangka hukumnya berlapis. Nilai Ekonomi Karbon (NEK) berdasar pada Peraturan Presiden Nomor 98 Tahun 2021, dijabarkan lewat Peraturan Menteri LHK Nomor 21 Tahun 2022, sementara sisi bursanya diatur POJK Nomor 14 Tahun 2023.</w:t>
      </w:r>
      <w:r>
        <w:t xml:space="preserve"> </w:t>
      </w:r>
      <w:hyperlink r:id="rId21">
        <w:r>
          <w:rPr>
            <w:rStyle w:val="Hyperlink"/>
          </w:rPr>
          <w:t xml:space="preserve">Bursa Karbon Indonesia (IDXCarbon)</w:t>
        </w:r>
      </w:hyperlink>
      <w:r>
        <w:t xml:space="preserve"> </w:t>
      </w:r>
      <w:r>
        <w:t xml:space="preserve">dioperasikan Bursa Efek Indonesia (BEI) di bawah pengawasan Otoritas Jasa Keuangan (OJK), dan resmi beroperasi sejak 26 September 2023.</w:t>
      </w:r>
    </w:p>
    <w:p>
      <w:pPr>
        <w:pStyle w:val="BodyText"/>
      </w:pPr>
      <w:r>
        <w:t xml:space="preserve">Rantai enam tahapnya seperti ini:</w:t>
      </w:r>
    </w:p>
    <w:p>
      <w:pPr>
        <w:pStyle w:val="Compact"/>
        <w:numPr>
          <w:ilvl w:val="0"/>
          <w:numId w:val="1001"/>
        </w:numPr>
      </w:pPr>
      <w:r>
        <w:rPr>
          <w:b/>
          <w:bCs/>
        </w:rPr>
        <w:t xml:space="preserve">Baseline</w:t>
      </w:r>
      <w:r>
        <w:t xml:space="preserve">: menetapkan tingkat emisi</w:t>
      </w:r>
      <w:r>
        <w:t xml:space="preserve"> </w:t>
      </w:r>
      <w:r>
        <w:t xml:space="preserve">“tanpa proyek”</w:t>
      </w:r>
      <w:r>
        <w:t xml:space="preserve"> </w:t>
      </w:r>
      <w:r>
        <w:t xml:space="preserve">sebagai pembanding.</w:t>
      </w:r>
    </w:p>
    <w:p>
      <w:pPr>
        <w:pStyle w:val="Compact"/>
        <w:numPr>
          <w:ilvl w:val="0"/>
          <w:numId w:val="1001"/>
        </w:numPr>
      </w:pPr>
      <w:r>
        <w:rPr>
          <w:b/>
          <w:bCs/>
        </w:rPr>
        <w:t xml:space="preserve">Aksi mitigasi</w:t>
      </w:r>
      <w:r>
        <w:t xml:space="preserve">:</w:t>
      </w:r>
      <w:r>
        <w:t xml:space="preserve"> </w:t>
      </w:r>
      <w:r>
        <w:rPr>
          <w:i/>
          <w:iCs/>
        </w:rPr>
        <w:t xml:space="preserve">fuel switching</w:t>
      </w:r>
      <w:r>
        <w:t xml:space="preserve"> </w:t>
      </w:r>
      <w:r>
        <w:t xml:space="preserve">berjalan, misalnya solar atau LPG ke CNG.</w:t>
      </w:r>
    </w:p>
    <w:p>
      <w:pPr>
        <w:pStyle w:val="Compact"/>
        <w:numPr>
          <w:ilvl w:val="0"/>
          <w:numId w:val="1001"/>
        </w:numPr>
      </w:pPr>
      <w:r>
        <w:rPr>
          <w:b/>
          <w:bCs/>
        </w:rPr>
        <w:t xml:space="preserve">MRV</w:t>
      </w:r>
      <w:r>
        <w:t xml:space="preserve">: pengukuran, pelaporan, dan verifikasi oleh pihak ketiga independen.</w:t>
      </w:r>
    </w:p>
    <w:p>
      <w:pPr>
        <w:pStyle w:val="Compact"/>
        <w:numPr>
          <w:ilvl w:val="0"/>
          <w:numId w:val="1001"/>
        </w:numPr>
      </w:pPr>
      <w:r>
        <w:rPr>
          <w:b/>
          <w:bCs/>
        </w:rPr>
        <w:t xml:space="preserve">Registrasi SRN PPI</w:t>
      </w:r>
      <w:r>
        <w:t xml:space="preserve">: validasi DRAM (maksimal 1 bulan), verifikasi LCAM (maksimal 6 bulan).</w:t>
      </w:r>
    </w:p>
    <w:p>
      <w:pPr>
        <w:pStyle w:val="Compact"/>
        <w:numPr>
          <w:ilvl w:val="0"/>
          <w:numId w:val="1001"/>
        </w:numPr>
      </w:pPr>
      <w:r>
        <w:rPr>
          <w:b/>
          <w:bCs/>
        </w:rPr>
        <w:t xml:space="preserve">Penerbitan SPE-GRK</w:t>
      </w:r>
      <w:r>
        <w:t xml:space="preserve">: sertifikat terbit bila seluruh tahap, termasuk uji</w:t>
      </w:r>
      <w:r>
        <w:t xml:space="preserve"> </w:t>
      </w:r>
      <w:r>
        <w:rPr>
          <w:i/>
          <w:iCs/>
        </w:rPr>
        <w:t xml:space="preserve">additionality</w:t>
      </w:r>
      <w:r>
        <w:t xml:space="preserve">, lolos.</w:t>
      </w:r>
    </w:p>
    <w:p>
      <w:pPr>
        <w:pStyle w:val="Compact"/>
        <w:numPr>
          <w:ilvl w:val="0"/>
          <w:numId w:val="1001"/>
        </w:numPr>
      </w:pPr>
      <w:r>
        <w:rPr>
          <w:b/>
          <w:bCs/>
        </w:rPr>
        <w:t xml:space="preserve">Perdagangan IDXCarbon</w:t>
      </w:r>
      <w:r>
        <w:t xml:space="preserve">: lewat Lelang, Marketplace, Negosiasi, atau Pasar Reguler.</w:t>
      </w:r>
    </w:p>
    <w:p>
      <w:pPr>
        <w:pStyle w:val="FirstParagraph"/>
      </w:pPr>
      <w:r>
        <w:t xml:space="preserve">Satu hal sering tertukar: IDXCarbon memperdagangkan dua jenis unit berbeda. PTBAE-PU adalah unit kepatuhan wajib, saat ini untuk sektor pembangkit listrik. SPE-GRK adalah kredit sukarela berbasis proyek, jalur yang relevan bagi industri manufaktur maupun komersial.</w:t>
      </w:r>
    </w:p>
    <w:bookmarkEnd w:id="22"/>
    <w:bookmarkStart w:id="23" w:name="Xe2a0624e76a3dd0770a1afe58a66120944a6fe2"/>
    <w:p>
      <w:pPr>
        <w:pStyle w:val="Heading2"/>
      </w:pPr>
      <w:r>
        <w:t xml:space="preserve">Apakah Pabrik yang Beralih ke Gaslink Otomatis Dapat Kredit Karbon?</w:t>
      </w:r>
    </w:p>
    <w:p>
      <w:pPr>
        <w:pStyle w:val="FirstParagraph"/>
      </w:pPr>
      <w:r>
        <w:t xml:space="preserve">Tidak otomatis. Beralih ke Gaslink menurunkan emisi secara nyata, tetapi kredit karbon hanya terbit bila penurunan itu nyata, terukur, dapat diverifikasi, dan lolos uji</w:t>
      </w:r>
      <w:r>
        <w:t xml:space="preserve"> </w:t>
      </w:r>
      <w:r>
        <w:rPr>
          <w:i/>
          <w:iCs/>
        </w:rPr>
        <w:t xml:space="preserve">additionality</w:t>
      </w:r>
      <w:r>
        <w:t xml:space="preserve">. Syarat terakhir inilah yang paling sering menggugurkan proyek</w:t>
      </w:r>
      <w:r>
        <w:t xml:space="preserve"> </w:t>
      </w:r>
      <w:r>
        <w:rPr>
          <w:i/>
          <w:iCs/>
        </w:rPr>
        <w:t xml:space="preserve">fuel switching</w:t>
      </w:r>
      <w:r>
        <w:t xml:space="preserve"> </w:t>
      </w:r>
      <w:r>
        <w:t xml:space="preserve">industri, sehingga penurunan emisinya tetap ada meski sertifikatnya tidak.</w:t>
      </w:r>
    </w:p>
    <w:p>
      <w:pPr>
        <w:pStyle w:val="BodyText"/>
      </w:pPr>
      <w:r>
        <w:t xml:space="preserve">Sebuah pengurangan emisi baru bisa menjadi SPE-GRK bila memenuhi prinsip inti berikut:</w:t>
      </w:r>
    </w:p>
    <w:p>
      <w:pPr>
        <w:pStyle w:val="Compact"/>
        <w:numPr>
          <w:ilvl w:val="0"/>
          <w:numId w:val="1002"/>
        </w:numPr>
      </w:pPr>
      <w:r>
        <w:rPr>
          <w:b/>
          <w:bCs/>
        </w:rPr>
        <w:t xml:space="preserve">Nyata (real)</w:t>
      </w:r>
      <w:r>
        <w:t xml:space="preserve">: benar-benar terjadi, bukan proyeksi di atas kertas.</w:t>
      </w:r>
    </w:p>
    <w:p>
      <w:pPr>
        <w:pStyle w:val="Compact"/>
        <w:numPr>
          <w:ilvl w:val="0"/>
          <w:numId w:val="1002"/>
        </w:numPr>
      </w:pPr>
      <w:r>
        <w:rPr>
          <w:b/>
          <w:bCs/>
        </w:rPr>
        <w:t xml:space="preserve">Terukur (measurable)</w:t>
      </w:r>
      <w:r>
        <w:t xml:space="preserve">: dihitung dengan metodologi yang diakui Panel Metodologi KLHK berbasis pedoman IPCC.</w:t>
      </w:r>
    </w:p>
    <w:p>
      <w:pPr>
        <w:pStyle w:val="Compact"/>
        <w:numPr>
          <w:ilvl w:val="0"/>
          <w:numId w:val="1002"/>
        </w:numPr>
      </w:pPr>
      <w:r>
        <w:rPr>
          <w:b/>
          <w:bCs/>
        </w:rPr>
        <w:t xml:space="preserve">Dapat diverifikasi (verifiable)</w:t>
      </w:r>
      <w:r>
        <w:t xml:space="preserve">: divalidasi lembaga pihak ketiga independen.</w:t>
      </w:r>
    </w:p>
    <w:p>
      <w:pPr>
        <w:pStyle w:val="Compact"/>
        <w:numPr>
          <w:ilvl w:val="0"/>
          <w:numId w:val="1002"/>
        </w:numPr>
      </w:pPr>
      <w:r>
        <w:rPr>
          <w:b/>
          <w:bCs/>
        </w:rPr>
        <w:t xml:space="preserve">Additional</w:t>
      </w:r>
      <w:r>
        <w:t xml:space="preserve">: penurunannya tidak akan terjadi tanpa insentif dari pasar karbon.</w:t>
      </w:r>
    </w:p>
    <w:p>
      <w:pPr>
        <w:pStyle w:val="FirstParagraph"/>
      </w:pPr>
      <w:r>
        <w:t xml:space="preserve">Bukti di lapangan menegaskan soal skala. Pada 20 Januari 2025, pemerintah meresmikan otorisasi unit karbon dari lima proyek sektor energi senilai total 1,78 juta ton CO2e untuk perdagangan internasional. Semuanya pembangkit skala besar, seperti PLTGU Priok Blok 4 dan PLTM Gunung Wugul, bukan pabrik menengah. Pola ini mengalibrasi harapan: jalur yang terbukti berjalan saat ini didominasi proyek berCAPEX besar yang memang butuh insentif finansial untuk terwujud.</w:t>
      </w:r>
    </w:p>
    <w:bookmarkEnd w:id="23"/>
    <w:bookmarkStart w:id="24" w:name="Xa185db32ac764e0cc725134b83195b98dc4ef2c"/>
    <w:p>
      <w:pPr>
        <w:pStyle w:val="Heading2"/>
      </w:pPr>
      <w:r>
        <w:t xml:space="preserve">Nilai Kredit Karbon vs Penghematan Bahan Bakar: Mana yang Lebih Besar?</w:t>
      </w:r>
    </w:p>
    <w:p>
      <w:pPr>
        <w:pStyle w:val="FirstParagraph"/>
      </w:pPr>
      <w:r>
        <w:t xml:space="preserve">Bagi mayoritas industri menengah, penghematan biaya bahan bakar dan nilai pelaporan ESG umumnya jauh lebih besar dan lebih pasti daripada hasil menjual SPE-GRK. Ketiga jenis nilai ini kerap disamakan, padahal berbeda sumber, kepastian, dan penerimanya, seperti dirangkum tabel berikut.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Jenis nilai</w:t>
            </w:r>
          </w:p>
        </w:tc>
        <w:tc>
          <w:tcPr/>
          <w:p>
            <w:pPr>
              <w:pStyle w:val="Compact"/>
            </w:pPr>
            <w:r>
              <w:t xml:space="preserve">Apa itu</w:t>
            </w:r>
          </w:p>
        </w:tc>
        <w:tc>
          <w:tcPr/>
          <w:p>
            <w:pPr>
              <w:pStyle w:val="Compact"/>
            </w:pPr>
            <w:r>
              <w:t xml:space="preserve">Realistis untuk siapa</w:t>
            </w:r>
          </w:p>
        </w:tc>
      </w:tr>
      <w:tr>
        <w:tc>
          <w:tcPr/>
          <w:p>
            <w:pPr>
              <w:pStyle w:val="Compact"/>
            </w:pPr>
            <w:r>
              <w:t xml:space="preserve">Penghematan biaya energi</w:t>
            </w:r>
          </w:p>
        </w:tc>
        <w:tc>
          <w:tcPr/>
          <w:p>
            <w:pPr>
              <w:pStyle w:val="Compact"/>
            </w:pPr>
            <w:r>
              <w:t xml:space="preserve">Selisih biaya per unit energi gas bumi vs solar/LPG</w:t>
            </w:r>
          </w:p>
        </w:tc>
        <w:tc>
          <w:tcPr/>
          <w:p>
            <w:pPr>
              <w:pStyle w:val="Compact"/>
            </w:pPr>
            <w:r>
              <w:t xml:space="preserve">Hampir semua industri yang beralih ke CNG</w:t>
            </w:r>
          </w:p>
        </w:tc>
      </w:tr>
      <w:tr>
        <w:tc>
          <w:tcPr/>
          <w:p>
            <w:pPr>
              <w:pStyle w:val="Compact"/>
            </w:pPr>
            <w:r>
              <w:t xml:space="preserve">Nilai pelaporan/ESG (Scope 1)</w:t>
            </w:r>
          </w:p>
        </w:tc>
        <w:tc>
          <w:tcPr/>
          <w:p>
            <w:pPr>
              <w:pStyle w:val="Compact"/>
            </w:pPr>
            <w:r>
              <w:t xml:space="preserve">Data penurunan emisi untuk laporan keberlanjutan &amp; syarat buyer</w:t>
            </w:r>
          </w:p>
        </w:tc>
        <w:tc>
          <w:tcPr/>
          <w:p>
            <w:pPr>
              <w:pStyle w:val="Compact"/>
            </w:pPr>
            <w:r>
              <w:t xml:space="preserve">Perusahaan Tbk, rantai pasok ekspor, target net zero korporasi</w:t>
            </w:r>
          </w:p>
        </w:tc>
      </w:tr>
      <w:tr>
        <w:tc>
          <w:tcPr/>
          <w:p>
            <w:pPr>
              <w:pStyle w:val="Compact"/>
            </w:pPr>
            <w:r>
              <w:t xml:space="preserve">Jual SPE-GRK di IDXCarbon</w:t>
            </w:r>
          </w:p>
        </w:tc>
        <w:tc>
          <w:tcPr/>
          <w:p>
            <w:pPr>
              <w:pStyle w:val="Compact"/>
            </w:pPr>
            <w:r>
              <w:t xml:space="preserve">Menjual sertifikat setelah lolos MRV,</w:t>
            </w:r>
            <w:r>
              <w:t xml:space="preserve"> </w:t>
            </w:r>
            <w:r>
              <w:rPr>
                <w:i/>
                <w:iCs/>
              </w:rPr>
              <w:t xml:space="preserve">additionality</w:t>
            </w:r>
            <w:r>
              <w:t xml:space="preserve">, dan SRN PPI</w:t>
            </w:r>
          </w:p>
        </w:tc>
        <w:tc>
          <w:tcPr/>
          <w:p>
            <w:pPr>
              <w:pStyle w:val="Compact"/>
            </w:pPr>
            <w:r>
              <w:t xml:space="preserve">Terutama proyek skala besar; pabrik menengah sering gagal</w:t>
            </w:r>
            <w:r>
              <w:t xml:space="preserve"> </w:t>
            </w:r>
            <w:r>
              <w:rPr>
                <w:i/>
                <w:iCs/>
              </w:rPr>
              <w:t xml:space="preserve">additionality</w:t>
            </w:r>
          </w:p>
        </w:tc>
      </w:tr>
    </w:tbl>
    <w:p>
      <w:pPr>
        <w:pStyle w:val="BodyText"/>
      </w:pPr>
      <w:r>
        <w:t xml:space="preserve">Pasar SPE-GRK juga masih tipis. Per Februari 2026, IDXCarbon mencatat 153 pengguna jasa terdaftar dengan nilai transaksi kumulatif Rp91,87 miliar, sementara pasokan unit karbon melampaui realisasi transaksi (kondisi</w:t>
      </w:r>
      <w:r>
        <w:t xml:space="preserve"> </w:t>
      </w:r>
      <w:r>
        <w:rPr>
          <w:i/>
          <w:iCs/>
        </w:rPr>
        <w:t xml:space="preserve">oversupply</w:t>
      </w:r>
      <w:r>
        <w:t xml:space="preserve">). Artinya, meski sebuah proyek lolos, harga jualnya belum tentu tinggi. Angka pasar ini bergerak cepat, jadi periksa data terkini di idxcarbon.co.id sebelum memutuskan.</w:t>
      </w:r>
    </w:p>
    <w:p>
      <w:pPr>
        <w:pStyle w:val="BodyText"/>
      </w:pPr>
      <w:r>
        <w:t xml:space="preserve">Di sinilah data pemakaian yang akurat berperan.</w:t>
      </w:r>
      <w:r>
        <w:t xml:space="preserve"> </w:t>
      </w:r>
      <w:r>
        <w:rPr>
          <w:i/>
          <w:iCs/>
        </w:rPr>
        <w:t xml:space="preserve">Smart metering</w:t>
      </w:r>
      <w:r>
        <w:t xml:space="preserve"> </w:t>
      </w:r>
      <w:r>
        <w:t xml:space="preserve">pada layanan Gaslink memudahkan pencatatan konsumsi gas yang bisa menjadi basis perhitungan MRV, meski penerbitan kredit tetap di luar kendali penyedia gas. Memilih</w:t>
      </w:r>
      <w:r>
        <w:t xml:space="preserve"> </w:t>
      </w:r>
      <w:hyperlink r:id="rId19">
        <w:r>
          <w:rPr>
            <w:rStyle w:val="Hyperlink"/>
          </w:rPr>
          <w:t xml:space="preserve">penyedia CNG</w:t>
        </w:r>
      </w:hyperlink>
      <w:r>
        <w:t xml:space="preserve"> </w:t>
      </w:r>
      <w:r>
        <w:t xml:space="preserve">dengan pengukuran yang rapi juga mempermudah dokumentasi kelak.</w:t>
      </w:r>
    </w:p>
    <w:bookmarkEnd w:id="24"/>
    <w:bookmarkStart w:id="25" w:name="X53340fc49d0d1ae82a20157c25843b904e0dbb4"/>
    <w:p>
      <w:pPr>
        <w:pStyle w:val="Heading2"/>
      </w:pPr>
      <w:r>
        <w:t xml:space="preserve">Kenapa Klaim Kredit Karbon dari Fuel-Switching Sering Gugur (Uji Additionality)</w:t>
      </w:r>
    </w:p>
    <w:p>
      <w:pPr>
        <w:pStyle w:val="FirstParagraph"/>
      </w:pPr>
      <w:r>
        <w:t xml:space="preserve">Karena gas bumi umumnya sudah lebih murah daripada solar atau LPG, pabrik akan tetap beralih demi alasan ekonomi biasa, tanpa perlu insentif karbon. Justru</w:t>
      </w:r>
      <w:r>
        <w:t xml:space="preserve"> </w:t>
      </w:r>
      <w:r>
        <w:rPr>
          <w:i/>
          <w:iCs/>
        </w:rPr>
        <w:t xml:space="preserve">business case</w:t>
      </w:r>
      <w:r>
        <w:t xml:space="preserve"> </w:t>
      </w:r>
      <w:r>
        <w:t xml:space="preserve">yang kuat inilah yang membuat proyek gagal uji</w:t>
      </w:r>
      <w:r>
        <w:t xml:space="preserve"> </w:t>
      </w:r>
      <w:r>
        <w:rPr>
          <w:i/>
          <w:iCs/>
        </w:rPr>
        <w:t xml:space="preserve">additionality</w:t>
      </w:r>
      <w:r>
        <w:t xml:space="preserve">, sebuah paradoks yang jarang dijelaskan terbuka.</w:t>
      </w:r>
    </w:p>
    <w:p>
      <w:pPr>
        <w:pStyle w:val="BodyText"/>
      </w:pPr>
      <w:r>
        <w:t xml:space="preserve">Logikanya:</w:t>
      </w:r>
      <w:r>
        <w:t xml:space="preserve"> </w:t>
      </w:r>
      <w:r>
        <w:rPr>
          <w:i/>
          <w:iCs/>
        </w:rPr>
        <w:t xml:space="preserve">additionality</w:t>
      </w:r>
      <w:r>
        <w:t xml:space="preserve"> </w:t>
      </w:r>
      <w:r>
        <w:t xml:space="preserve">menuntut bukti bahwa penurunan emisi tidak akan terjadi tanpa dana dari pasar karbon. Semakin menguntungkan sebuah konversi ke gas secara mandiri, semakin sulit ia diklaim sebagai proyek karbon. Ini bukan pesimisme, melainkan cara kerja pasar karbon global menjaga integritas kredit.</w:t>
      </w:r>
    </w:p>
    <w:p>
      <w:pPr>
        <w:pStyle w:val="BodyText"/>
      </w:pPr>
      <w:r>
        <w:t xml:space="preserve">Biaya juga menjadi ganjalan. Tarif administratif penerbitan SPE-GRK yang diusulkan KLHK memang kecil, sekitar Rp3.000 per dokumen, tetapi itu bukan biaya total. Komponen terbesar ada pada penyusunan dokumen teknis dan jasa lembaga validasi/verifikasi independen yang bervariasi menurut skala, dan untuk proyek kecil bisa melebihi nilai kreditnya. Satu catatan lagi: belum ditemukan metodologi SRN PPI khusus untuk konversi bahan bakar industri ke CNG, sehingga pelaku usaha sebaiknya memastikan metodologi yang berlaku ke Panel Metodologi KLHK.</w:t>
      </w:r>
    </w:p>
    <w:p>
      <w:pPr>
        <w:pStyle w:val="BodyText"/>
      </w:pPr>
      <w:r>
        <w:t xml:space="preserve">Bukan berarti pintu tertutup. Beberapa arah yang sering ditempuh:</w:t>
      </w:r>
    </w:p>
    <w:p>
      <w:pPr>
        <w:pStyle w:val="Compact"/>
        <w:numPr>
          <w:ilvl w:val="0"/>
          <w:numId w:val="1003"/>
        </w:numPr>
      </w:pPr>
      <w:r>
        <w:rPr>
          <w:b/>
          <w:bCs/>
        </w:rPr>
        <w:t xml:space="preserve">Agregasi proyek</w:t>
      </w:r>
      <w:r>
        <w:t xml:space="preserve">: menggabungkan beberapa lokasi kecil agar skala pengurangannya cukup ekonomis untuk membiayai proses MRV.</w:t>
      </w:r>
    </w:p>
    <w:p>
      <w:pPr>
        <w:pStyle w:val="Compact"/>
        <w:numPr>
          <w:ilvl w:val="0"/>
          <w:numId w:val="1003"/>
        </w:numPr>
      </w:pPr>
      <w:r>
        <w:rPr>
          <w:b/>
          <w:bCs/>
        </w:rPr>
        <w:t xml:space="preserve">Fokus pada nilai ESG</w:t>
      </w:r>
      <w:r>
        <w:t xml:space="preserve">: memakai data penurunan emisi untuk pelaporan Scope 1, rating keberlanjutan, dan syarat</w:t>
      </w:r>
      <w:r>
        <w:t xml:space="preserve"> </w:t>
      </w:r>
      <w:r>
        <w:rPr>
          <w:i/>
          <w:iCs/>
        </w:rPr>
        <w:t xml:space="preserve">buyer</w:t>
      </w:r>
      <w:r>
        <w:t xml:space="preserve"> </w:t>
      </w:r>
      <w:r>
        <w:t xml:space="preserve">ekspor, tanpa harus menjualnya sebagai kredit.</w:t>
      </w:r>
    </w:p>
    <w:p>
      <w:pPr>
        <w:pStyle w:val="FirstParagraph"/>
      </w:pPr>
      <w:r>
        <w:rPr>
          <w:i/>
          <w:iCs/>
        </w:rPr>
        <w:t xml:space="preserve">[Image 02: Infografis dua panel</w:t>
      </w:r>
      <w:r>
        <w:rPr>
          <w:i/>
          <w:iCs/>
        </w:rPr>
        <w:t xml:space="preserve"> </w:t>
      </w:r>
      <w:r>
        <w:rPr>
          <w:i/>
          <w:iCs/>
        </w:rPr>
        <w:t xml:space="preserve">“Lolos vs Gagal Additionality”</w:t>
      </w:r>
      <w:r>
        <w:rPr>
          <w:i/>
          <w:iCs/>
        </w:rPr>
        <w:t xml:space="preserve">. Panel kiri hijau</w:t>
      </w:r>
      <w:r>
        <w:rPr>
          <w:i/>
          <w:iCs/>
        </w:rPr>
        <w:t xml:space="preserve"> </w:t>
      </w:r>
      <w:r>
        <w:rPr>
          <w:i/>
          <w:iCs/>
        </w:rPr>
        <w:t xml:space="preserve">“Pembangkit skala besar”</w:t>
      </w:r>
      <w:r>
        <w:rPr>
          <w:i/>
          <w:iCs/>
        </w:rPr>
        <w:t xml:space="preserve"> </w:t>
      </w:r>
      <w:r>
        <w:rPr>
          <w:i/>
          <w:iCs/>
        </w:rPr>
        <w:t xml:space="preserve">(butuh CAPEX besar, tanpa insentif karbon proyek tidak jalan, lolos additionality, ikon PLTGU). Panel kanan abu-oranye</w:t>
      </w:r>
      <w:r>
        <w:rPr>
          <w:i/>
          <w:iCs/>
        </w:rPr>
        <w:t xml:space="preserve"> </w:t>
      </w:r>
      <w:r>
        <w:rPr>
          <w:i/>
          <w:iCs/>
        </w:rPr>
        <w:t xml:space="preserve">“Pabrik menengah beralih ke gas”</w:t>
      </w:r>
      <w:r>
        <w:rPr>
          <w:i/>
          <w:iCs/>
        </w:rPr>
        <w:t xml:space="preserve"> </w:t>
      </w:r>
      <w:r>
        <w:rPr>
          <w:i/>
          <w:iCs/>
        </w:rPr>
        <w:t xml:space="preserve">(sudah ekonomis tanpa insentif, business-as-usual, gagal additionality, ikon pabrik). Gaya korporat, teks Bahasa Indonesia. Alt:</w:t>
      </w:r>
      <w:r>
        <w:rPr>
          <w:i/>
          <w:iCs/>
        </w:rPr>
        <w:t xml:space="preserve"> </w:t>
      </w:r>
      <w:r>
        <w:rPr>
          <w:i/>
          <w:iCs/>
        </w:rPr>
        <w:t xml:space="preserve">“Perbandingan proyek yang lolos dan gagal uji additionality kredit karbon”</w:t>
      </w:r>
      <w:r>
        <w:rPr>
          <w:i/>
          <w:iCs/>
        </w:rPr>
        <w:t xml:space="preserve">]</w:t>
      </w:r>
    </w:p>
    <w:bookmarkEnd w:id="25"/>
    <w:bookmarkStart w:id="32" w:name="faq-pertanyaan-yang-sering-diajukan"/>
    <w:p>
      <w:pPr>
        <w:pStyle w:val="Heading2"/>
      </w:pPr>
      <w:r>
        <w:t xml:space="preserve">FAQ (Pertanyaan yang Sering Diajukan)</w:t>
      </w:r>
    </w:p>
    <w:bookmarkStart w:id="26" w:name="apa-itu-spe-grk"/>
    <w:p>
      <w:pPr>
        <w:pStyle w:val="Heading3"/>
      </w:pPr>
      <w:r>
        <w:t xml:space="preserve">Apa itu SPE-GRK?</w:t>
      </w:r>
    </w:p>
    <w:p>
      <w:pPr>
        <w:pStyle w:val="FirstParagraph"/>
      </w:pPr>
      <w:r>
        <w:t xml:space="preserve">SPE-GRK (Sertifikat Pengurangan Emisi-Gas Rumah Kaca) adalah bukti resmi bahwa suatu usaha berhasil menurunkan emisi gas rumah kaca setelah lolos proses MRV dan tercatat di SRN PPI milik KLHK. Sertifikat ini, dikenal juga sebagai kredit karbon, dapat diperdagangkan di IDXCarbon.</w:t>
      </w:r>
    </w:p>
    <w:bookmarkEnd w:id="26"/>
    <w:bookmarkStart w:id="27" w:name="X34c39f687317ed97ce828f89eac9cc02bf14d0a"/>
    <w:p>
      <w:pPr>
        <w:pStyle w:val="Heading3"/>
      </w:pPr>
      <w:r>
        <w:t xml:space="preserve">Apa itu IDXCarbon dan siapa yang mengawasinya?</w:t>
      </w:r>
    </w:p>
    <w:p>
      <w:pPr>
        <w:pStyle w:val="FirstParagraph"/>
      </w:pPr>
      <w:r>
        <w:t xml:space="preserve">IDXCarbon adalah bursa karbon resmi Indonesia yang dioperasikan Bursa Efek Indonesia (BEI) dan beroperasi sejak 26 September 2023. Pengawasnya adalah Otoritas Jasa Keuangan (OJK), bukan operatornya. Dua jenis unit diperdagangkan: PTBAE-PU (batas emisi wajib, saat ini sektor pembangkit) dan SPE-GRK (kredit sukarela berbasis proyek).</w:t>
      </w:r>
    </w:p>
    <w:bookmarkEnd w:id="27"/>
    <w:bookmarkStart w:id="28" w:name="X8c33389ccfacd5ac2cbcf816ad0dcefd7cbc719"/>
    <w:p>
      <w:pPr>
        <w:pStyle w:val="Heading3"/>
      </w:pPr>
      <w:r>
        <w:t xml:space="preserve">Apa itu additionality dan baseline dalam proyek karbon?</w:t>
      </w:r>
    </w:p>
    <w:p>
      <w:pPr>
        <w:pStyle w:val="FirstParagraph"/>
      </w:pPr>
      <w:r>
        <w:rPr>
          <w:i/>
          <w:iCs/>
        </w:rPr>
        <w:t xml:space="preserve">Baseline</w:t>
      </w:r>
      <w:r>
        <w:t xml:space="preserve"> </w:t>
      </w:r>
      <w:r>
        <w:t xml:space="preserve">adalah perkiraan emisi yang paling mungkin terjadi jika proyek tidak dijalankan, patokan</w:t>
      </w:r>
      <w:r>
        <w:t xml:space="preserve"> </w:t>
      </w:r>
      <w:r>
        <w:t xml:space="preserve">“tanpa proyek”</w:t>
      </w:r>
      <w:r>
        <w:t xml:space="preserve">.</w:t>
      </w:r>
      <w:r>
        <w:t xml:space="preserve"> </w:t>
      </w:r>
      <w:r>
        <w:rPr>
          <w:i/>
          <w:iCs/>
        </w:rPr>
        <w:t xml:space="preserve">Additionality</w:t>
      </w:r>
      <w:r>
        <w:t xml:space="preserve"> </w:t>
      </w:r>
      <w:r>
        <w:t xml:space="preserve">adalah syarat bahwa penurunan emisi benar-benar tidak akan terjadi tanpa insentif pasar karbon. Jika sebuah aksi tetap dilakukan karena alasan ekonomi, misalnya gas memang lebih hemat, proyek dianggap gagal</w:t>
      </w:r>
      <w:r>
        <w:t xml:space="preserve"> </w:t>
      </w:r>
      <w:r>
        <w:rPr>
          <w:i/>
          <w:iCs/>
        </w:rPr>
        <w:t xml:space="preserve">additionality</w:t>
      </w:r>
      <w:r>
        <w:t xml:space="preserve">.</w:t>
      </w:r>
    </w:p>
    <w:bookmarkEnd w:id="28"/>
    <w:bookmarkStart w:id="29" w:name="X4f63b62ba33d14775c2e7244b6c282cd476a68f"/>
    <w:p>
      <w:pPr>
        <w:pStyle w:val="Heading3"/>
      </w:pPr>
      <w:r>
        <w:t xml:space="preserve">Apakah konversi solar atau LPG ke CNG bisa menjadi kredit karbon?</w:t>
      </w:r>
    </w:p>
    <w:p>
      <w:pPr>
        <w:pStyle w:val="FirstParagraph"/>
      </w:pPr>
      <w:r>
        <w:t xml:space="preserve">Bisa secara prinsip, tetapi tidak mudah. Penurunan emisinya nyata (gas 52,91 vs solar 74,14 kg CO2/MMBtu menurut EIA), namun harus lolos MRV, tercatat di SRN PPI, dan lolos uji</w:t>
      </w:r>
      <w:r>
        <w:t xml:space="preserve"> </w:t>
      </w:r>
      <w:r>
        <w:rPr>
          <w:i/>
          <w:iCs/>
        </w:rPr>
        <w:t xml:space="preserve">additionality</w:t>
      </w:r>
      <w:r>
        <w:t xml:space="preserve">. Karena gas bumi umumnya sudah lebih hemat tanpa insentif karbon, banyak proyek industri menengah sulit membuktikan syarat</w:t>
      </w:r>
      <w:r>
        <w:t xml:space="preserve"> </w:t>
      </w:r>
      <w:r>
        <w:rPr>
          <w:i/>
          <w:iCs/>
        </w:rPr>
        <w:t xml:space="preserve">additionality</w:t>
      </w:r>
      <w:r>
        <w:t xml:space="preserve">.</w:t>
      </w:r>
    </w:p>
    <w:bookmarkEnd w:id="29"/>
    <w:bookmarkStart w:id="30" w:name="X492b5efa818d3bfdd1fc55d0dbc1f0bdff98122"/>
    <w:p>
      <w:pPr>
        <w:pStyle w:val="Heading3"/>
      </w:pPr>
      <w:r>
        <w:t xml:space="preserve">Berapa biaya mendaftarkan proyek kredit karbon?</w:t>
      </w:r>
    </w:p>
    <w:p>
      <w:pPr>
        <w:pStyle w:val="FirstParagraph"/>
      </w:pPr>
      <w:r>
        <w:t xml:space="preserve">Tarif administratif (PNBP) penerbitan SPE-GRK yang diusulkan KLHK sekitar Rp3.000 per dokumen, tetapi ini hanya biaya administrasi. Komponen terbesar ada pada dokumen teknis dan jasa lembaga validasi/verifikasi independen, yang bervariasi menurut skala proyek dan belum bertarif standar publik. Untuk proyek kecil, biaya ini bisa melebihi nilai kreditnya.</w:t>
      </w:r>
    </w:p>
    <w:bookmarkEnd w:id="30"/>
    <w:bookmarkStart w:id="31" w:name="X23fca7efa7de47eecce0a51f4ac70bdaf4d2fcf"/>
    <w:p>
      <w:pPr>
        <w:pStyle w:val="Heading3"/>
      </w:pPr>
      <w:r>
        <w:t xml:space="preserve">Kalau tidak bisa dijual, apa gunanya menghitung penurunan emisi?</w:t>
      </w:r>
    </w:p>
    <w:p>
      <w:pPr>
        <w:pStyle w:val="FirstParagraph"/>
      </w:pPr>
      <w:r>
        <w:t xml:space="preserve">Data penurunan emisi tetap bernilai meski gagal</w:t>
      </w:r>
      <w:r>
        <w:t xml:space="preserve"> </w:t>
      </w:r>
      <w:r>
        <w:rPr>
          <w:i/>
          <w:iCs/>
        </w:rPr>
        <w:t xml:space="preserve">additionality</w:t>
      </w:r>
      <w:r>
        <w:t xml:space="preserve">. Ia mendukung pelaporan Scope 1 untuk kebutuhan ESG, rating keberlanjutan, dan syarat rantai pasok buyer ekspor yang makin sering diminta. Di luar itu, penghematan biaya energi dari beralih ke gas bumi umumnya jauh lebih signifikan dan langsung terasa dibanding potensi hasil jual SPE-GRK.</w:t>
      </w:r>
    </w:p>
    <w:bookmarkEnd w:id="31"/>
    <w:bookmarkEnd w:id="32"/>
    <w:bookmarkStart w:id="33" w:name="kesimpulan"/>
    <w:p>
      <w:pPr>
        <w:pStyle w:val="Heading2"/>
      </w:pPr>
      <w:r>
        <w:t xml:space="preserve">Kesimpulan</w:t>
      </w:r>
    </w:p>
    <w:p>
      <w:pPr>
        <w:pStyle w:val="FirstParagraph"/>
      </w:pPr>
      <w:r>
        <w:t xml:space="preserve">Beralih ke gas bumi memberi dua hal yang pasti: biaya energi lebih rendah dan emisi lebih bersih. Menjual pengurangan itu sebagai kredit karbon adalah peluang yang mungkin, bukan janji, dan paling realistis untuk proyek berskala besar. Bagi kebanyakan industri menengah, nilai terbesar ada pada penghematan dan pelaporan ESG. Sebagai anak usaha PGN yang merupakan bagian dari Subholding Gas Pertamina, PGN Gagas menyalurkan gas bumi lebih bersih ke lokasi di luar jaringan pipa lewat Gaslink, instrumen</w:t>
      </w:r>
      <w:r>
        <w:t xml:space="preserve"> </w:t>
      </w:r>
      <w:r>
        <w:rPr>
          <w:i/>
          <w:iCs/>
        </w:rPr>
        <w:t xml:space="preserve">fuel switching</w:t>
      </w:r>
      <w:r>
        <w:t xml:space="preserve"> </w:t>
      </w:r>
      <w:r>
        <w:t xml:space="preserve">yang menjadi titik awal cerita ini, bukan penerbit kreditnya.</w:t>
      </w:r>
    </w:p>
    <w:p>
      <w:pPr>
        <w:pStyle w:val="BodyText"/>
      </w:pPr>
      <w:r>
        <w:t xml:space="preserve">Untuk menilai kesiapan beralih ke gas bumi di fasilitas Anda dan mendiskusikan opsi pasokan CNG,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21" Target="https://idxcarbon.co.id/id/product-spe-grk" TargetMode="External" /><Relationship Type="http://schemas.openxmlformats.org/officeDocument/2006/relationships/hyperlink" Id="rId18" Target="https://www.eia.gov/environment/emissions/co2_vol_mass.php"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21" Target="https://idxcarbon.co.id/id/product-spe-grk" TargetMode="External" /><Relationship Type="http://schemas.openxmlformats.org/officeDocument/2006/relationships/hyperlink" Id="rId18" Target="https://www.eia.gov/environment/emissions/co2_vol_mass.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2026-08-11T07:59:09Z</dcterms:created>
  <dcterms:modified xsi:type="dcterms:W3CDTF">2026-08-11T07:59:09Z</dcterms:modified>
</cp:coreProperties>
</file>

<file path=docProps/custom.xml><?xml version="1.0" encoding="utf-8"?>
<Properties xmlns="http://schemas.openxmlformats.org/officeDocument/2006/custom-properties" xmlns:vt="http://schemas.openxmlformats.org/officeDocument/2006/docPropsVTypes"/>
</file>