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"Perizinan Instalasi Gaslink: PLO, Izin Lingkungan, dan Waktunya"</w:t>
      </w:r>
      <w:r>
        <w:br/>
      </w:r>
      <w:r>
        <w:rPr>
          <w:rStyle w:val="FunctionTok"/>
        </w:rPr>
        <w:t xml:space="preserve">meta_title</w:t>
      </w:r>
      <w:r>
        <w:rPr>
          <w:rStyle w:val="KeywordTok"/>
        </w:rPr>
        <w:t xml:space="preserve">:</w:t>
      </w:r>
      <w:r>
        <w:rPr>
          <w:rStyle w:val="AttributeTok"/>
        </w:rPr>
        <w:t xml:space="preserve"> </w:t>
      </w:r>
      <w:r>
        <w:rPr>
          <w:rStyle w:val="StringTok"/>
        </w:rPr>
        <w:t xml:space="preserve">"Perizinan Instalasi Gaslink: PLO &amp; Izin Lingkungan"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perizinan instalasi Gaslink (CNG): beda PLO dan SLO, izin lingkungan UKL-UPL/SPPL, siapa mengurus apa, plus estimasi waktu yang realistis."</w:t>
      </w:r>
      <w:r>
        <w:br/>
      </w:r>
      <w:r>
        <w:rPr>
          <w:rStyle w:val="FunctionTok"/>
        </w:rPr>
        <w:t xml:space="preserve">slug</w:t>
      </w:r>
      <w:r>
        <w:rPr>
          <w:rStyle w:val="KeywordTok"/>
        </w:rPr>
        <w:t xml:space="preserve">:</w:t>
      </w:r>
      <w:r>
        <w:rPr>
          <w:rStyle w:val="AttributeTok"/>
        </w:rPr>
        <w:t xml:space="preserve"> </w:t>
      </w:r>
      <w:r>
        <w:rPr>
          <w:rStyle w:val="StringTok"/>
        </w:rPr>
        <w:t xml:space="preserve">"perizinan-instalasi-gaslink-plo-izin-lingkungan"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"perizinan instalasi gas"</w:t>
      </w:r>
      <w:r>
        <w:rPr>
          <w:rStyle w:val="KeywordTok"/>
        </w:rPr>
        <w:t xml:space="preserve">,</w:t>
      </w:r>
      <w:r>
        <w:rPr>
          <w:rStyle w:val="AttributeTok"/>
        </w:rPr>
        <w:t xml:space="preserve"> </w:t>
      </w:r>
      <w:r>
        <w:rPr>
          <w:rStyle w:val="StringTok"/>
        </w:rPr>
        <w:t xml:space="preserve">"Persetujuan Layak Operasi (PLO)"</w:t>
      </w:r>
      <w:r>
        <w:rPr>
          <w:rStyle w:val="KeywordTok"/>
        </w:rPr>
        <w:t xml:space="preserve">,</w:t>
      </w:r>
      <w:r>
        <w:rPr>
          <w:rStyle w:val="AttributeTok"/>
        </w:rPr>
        <w:t xml:space="preserve"> </w:t>
      </w:r>
      <w:r>
        <w:rPr>
          <w:rStyle w:val="StringTok"/>
        </w:rPr>
        <w:t xml:space="preserve">"Permen ESDM 32 Tahun 2021"</w:t>
      </w:r>
      <w:r>
        <w:rPr>
          <w:rStyle w:val="KeywordTok"/>
        </w:rPr>
        <w:t xml:space="preserve">,</w:t>
      </w:r>
      <w:r>
        <w:rPr>
          <w:rStyle w:val="AttributeTok"/>
        </w:rPr>
        <w:t xml:space="preserve"> </w:t>
      </w:r>
      <w:r>
        <w:rPr>
          <w:rStyle w:val="StringTok"/>
        </w:rPr>
        <w:t xml:space="preserve">"izin lingkungan UKL-UPL"</w:t>
      </w:r>
      <w:r>
        <w:rPr>
          <w:rStyle w:val="KeywordTok"/>
        </w:rPr>
        <w:t xml:space="preserve">,</w:t>
      </w:r>
      <w:r>
        <w:rPr>
          <w:rStyle w:val="AttributeTok"/>
        </w:rPr>
        <w:t xml:space="preserve"> </w:t>
      </w:r>
      <w:r>
        <w:rPr>
          <w:rStyle w:val="StringTok"/>
        </w:rPr>
        <w:t xml:space="preserve">"OSS berbasis risiko"</w:t>
      </w:r>
      <w:r>
        <w:rPr>
          <w:rStyle w:val="KeywordTok"/>
        </w:rPr>
        <w:t xml:space="preserve">,</w:t>
      </w:r>
      <w:r>
        <w:rPr>
          <w:rStyle w:val="AttributeTok"/>
        </w:rPr>
        <w:t xml:space="preserve"> </w:t>
      </w:r>
      <w:r>
        <w:rPr>
          <w:rStyle w:val="StringTok"/>
        </w:rPr>
        <w:t xml:space="preserve">"PJIT"</w:t>
      </w:r>
      <w:r>
        <w:rPr>
          <w:rStyle w:val="KeywordTok"/>
        </w:rPr>
        <w:t xml:space="preserve">,</w:t>
      </w:r>
      <w:r>
        <w:rPr>
          <w:rStyle w:val="AttributeTok"/>
        </w:rPr>
        <w:t xml:space="preserve"> </w:t>
      </w:r>
      <w:r>
        <w:rPr>
          <w:rStyle w:val="StringTok"/>
        </w:rPr>
        <w:t xml:space="preserve">"Kepala Teknik"</w:t>
      </w:r>
      <w:r>
        <w:rPr>
          <w:rStyle w:val="KeywordTok"/>
        </w:rPr>
        <w:t xml:space="preserve">,</w:t>
      </w:r>
      <w:r>
        <w:rPr>
          <w:rStyle w:val="AttributeTok"/>
        </w:rPr>
        <w:t xml:space="preserve"> </w:t>
      </w:r>
      <w:r>
        <w:rPr>
          <w:rStyle w:val="StringTok"/>
        </w:rPr>
        <w:t xml:space="preserve">"CNG industri"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"https://migas.esdm.go.id/post/read/sosialisasi-permen-esdm-32-tahun-2021-simplifikasi-regulasi-inspeksi-teknis-dan-pemeriksaan-keselamatan-instalasi-migas"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tanggal penetapan, dan tujuan simplifikasi Permen ESDM No. 32 Tahun 2021"</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"https://peraturan.go.id/id/pp-no-22-tahun-2021"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"Tiering persetujuan lingkungan AMDAL/UKL-UPL/SPPL berbasis risiko"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"https://ppid.menlhk.go.id/berita/siaran-pers/6945/klhk-esdm-dan-skk-migas-luncurkan-delapan-formulir-ukl-upl-standar-pengelolaan-lingkungan-hidup-usaha-migas"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"Peluncuran 8 formulir UKL-UPL standar usaha migas, 20 Desember 2022"</w:t>
      </w:r>
      <w:r>
        <w:br/>
      </w:r>
      <w:r>
        <w:rPr>
          <w:rStyle w:val="FunctionTok"/>
        </w:rPr>
        <w:t xml:space="preserve">brief_id</w:t>
      </w:r>
      <w:r>
        <w:rPr>
          <w:rStyle w:val="KeywordTok"/>
        </w:rPr>
        <w:t xml:space="preserve">:</w:t>
      </w:r>
      <w:r>
        <w:rPr>
          <w:rStyle w:val="AttributeTok"/>
        </w:rPr>
        <w:t xml:space="preserve"> </w:t>
      </w:r>
      <w:r>
        <w:rPr>
          <w:rStyle w:val="StringTok"/>
        </w:rPr>
        <w:t xml:space="preserve">"gaslink-02"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1520</w:t>
      </w:r>
    </w:p>
    <w:p>
      <w:r>
        <w:pict>
          <v:rect style="width:0;height:1.5pt" o:hralign="center" o:hrstd="t" o:hr="t"/>
        </w:pict>
      </w:r>
    </w:p>
    <w:bookmarkEnd w:id="16"/>
    <w:bookmarkStart w:id="36" w:name="X2f0993adca802b2344083e0a2dad466dd5d9aa3"/>
    <w:p>
      <w:pPr>
        <w:pStyle w:val="Heading1"/>
      </w:pPr>
      <w:r>
        <w:t xml:space="preserve">Perizinan Instalasi Gaslink: PLO, Izin Lingkungan, dan Waktunya</w:t>
      </w:r>
    </w:p>
    <w:p>
      <w:pPr>
        <w:pStyle w:val="FirstParagraph"/>
      </w:pPr>
      <w:r>
        <w:t xml:space="preserve">Sebelum truk pengangkut CNG (</w:t>
      </w:r>
      <w:r>
        <w:rPr>
          <w:i/>
          <w:iCs/>
        </w:rPr>
        <w:t xml:space="preserve">Compressed Natural Gas</w:t>
      </w:r>
      <w:r>
        <w:t xml:space="preserve">) pertama tiba di lokasi dan gas mulai mengalir ke tungku produksi, banyak calon pelanggan tertahan pada satu pertanyaan yang jarang dijawab tuntas: mengurus izinnya ribet atau tidak, berapa lama, dan siapa yang menanggung, saya atau penyedianya? Ketidakpastian soal perizinan diam-diam kerap menghambat keputusan beralih ke gas bumi. Artikel ini membedah legalisasi instalasi</w:t>
      </w:r>
      <w:r>
        <w:t xml:space="preserve"> </w:t>
      </w:r>
      <w:hyperlink r:id="rId17">
        <w:r>
          <w:rPr>
            <w:rStyle w:val="Hyperlink"/>
          </w:rPr>
          <w:t xml:space="preserve">Gaslink</w:t>
        </w:r>
      </w:hyperlink>
      <w:r>
        <w:t xml:space="preserve">, layanan CNG untuk pelanggan industri dan komersial di luar jangkauan pipa gas, secara operasional: dokumen wajib, regulasinya, pembagian tugas penyedia dan pelanggan, serta estimasi waktu yang realistis.</w:t>
      </w:r>
    </w:p>
    <w:p>
      <w:pPr>
        <w:pStyle w:val="BlockText"/>
      </w:pPr>
      <w:r>
        <w:rPr>
          <w:b/>
          <w:bCs/>
        </w:rPr>
        <w:t xml:space="preserve">Ringkas:</w:t>
      </w:r>
      <w:r>
        <w:t xml:space="preserve"> </w:t>
      </w:r>
      <w:r>
        <w:t xml:space="preserve">Persetujuan Layak Operasi (PLO) adalah pengakuan resmi dari Direktorat Jenderal Minyak dan Gas Bumi (Ditjen Migas), Kementerian ESDM, bahwa suatu instalasi migas, termasuk instalasi gas bumi atau CNG, telah melalui inspeksi teknis dan pemeriksaan keselamatan sesuai Permen ESDM No. 32 Tahun 2021, lalu dinyatakan layak dioperasikan secara komersial. Istilah ini berbeda dari SLO yang lazim dipakai di sektor ketenagalistrikan.</w:t>
      </w:r>
    </w:p>
    <w:bookmarkStart w:id="21" w:name="Xb678a5c9e4d0ab3930af72d1b23f5d6e42bc75d"/>
    <w:p>
      <w:pPr>
        <w:pStyle w:val="Heading2"/>
      </w:pPr>
      <w:r>
        <w:t xml:space="preserve">Izin Apa Saja yang Dibutuhkan Sebelum Instalasi Gaslink Beroperasi?</w:t>
      </w:r>
    </w:p>
    <w:p>
      <w:pPr>
        <w:pStyle w:val="FirstParagraph"/>
      </w:pPr>
      <w:r>
        <w:t xml:space="preserve">Ada tiga lapis izin yang perlu beres sebelum instalasi CNG boleh beroperasi: legalitas niaga dan angkutan gas bumi di sisi penyedia, persetujuan lingkungan sesuai skala usaha di sisi pelanggan, serta status laik operasi instalasi itu sendiri. Ketiganya diatur regulasi berbeda dan diurus pihak yang berbeda pula.</w:t>
      </w:r>
    </w:p>
    <w:p>
      <w:pPr>
        <w:pStyle w:val="BodyText"/>
      </w:pPr>
      <w:r>
        <w:rPr>
          <w:i/>
          <w:iCs/>
        </w:rPr>
        <w:t xml:space="preserve">[Image 01: Kartu</w:t>
      </w:r>
      <w:r>
        <w:rPr>
          <w:i/>
          <w:iCs/>
        </w:rPr>
        <w:t xml:space="preserve"> </w:t>
      </w:r>
      <w:r>
        <w:rPr>
          <w:i/>
          <w:iCs/>
        </w:rPr>
        <w:t xml:space="preserve">“3 Lapis Izin Instalasi Gas Hilir”</w:t>
      </w:r>
      <w:r>
        <w:rPr>
          <w:i/>
          <w:iCs/>
        </w:rPr>
        <w:t xml:space="preserve"> </w:t>
      </w:r>
      <w:r>
        <w:rPr>
          <w:i/>
          <w:iCs/>
        </w:rPr>
        <w:t xml:space="preserve">— tiga kartu berdampingan dengan ikon berbeda (sertifikat niaga/angkutan, daun untuk lingkungan, centang keselamatan untuk PLO), tiap kartu berjudul singkat plus satu kalimat definisi Bahasa Indonesia. Gaya korporat biru-hijau. alt: tiga lapis izin instalasi gas hilir untuk pelanggan CNG]</w:t>
      </w:r>
    </w:p>
    <w:p>
      <w:pPr>
        <w:pStyle w:val="Compact"/>
        <w:numPr>
          <w:ilvl w:val="0"/>
          <w:numId w:val="1001"/>
        </w:numPr>
      </w:pPr>
      <w:r>
        <w:rPr>
          <w:b/>
          <w:bCs/>
        </w:rPr>
        <w:t xml:space="preserve">Legalitas niaga dan angkutan gas bumi.</w:t>
      </w:r>
      <w:r>
        <w:t xml:space="preserve"> </w:t>
      </w:r>
      <w:r>
        <w:t xml:space="preserve">Ini soal kelayakan penyedia menjual dan mengangkut CNG secara legal, berpayung UU No. 22 Tahun 2001 tentang Minyak dan Gas Bumi beserta peraturan turunannya. Izin ini melekat pada penyedia, baik yang melayani industri lewat Gaslink maupun transportasi lewat</w:t>
      </w:r>
      <w:r>
        <w:t xml:space="preserve"> </w:t>
      </w:r>
      <w:hyperlink r:id="rId18">
        <w:r>
          <w:rPr>
            <w:rStyle w:val="Hyperlink"/>
          </w:rPr>
          <w:t xml:space="preserve">Gasku</w:t>
        </w:r>
      </w:hyperlink>
      <w:r>
        <w:t xml:space="preserve">, bukan pada pelanggan.</w:t>
      </w:r>
    </w:p>
    <w:p>
      <w:pPr>
        <w:pStyle w:val="Compact"/>
        <w:numPr>
          <w:ilvl w:val="0"/>
          <w:numId w:val="1001"/>
        </w:numPr>
      </w:pPr>
      <w:r>
        <w:rPr>
          <w:b/>
          <w:bCs/>
        </w:rPr>
        <w:t xml:space="preserve">Persetujuan lingkungan.</w:t>
      </w:r>
      <w:r>
        <w:t xml:space="preserve"> </w:t>
      </w:r>
      <w:r>
        <w:t xml:space="preserve">Menilai dampak kegiatan usaha di lokasi pelanggan. Bentuknya berjenjang menurut</w:t>
      </w:r>
      <w:r>
        <w:t xml:space="preserve"> </w:t>
      </w:r>
      <w:hyperlink r:id="rId19">
        <w:r>
          <w:rPr>
            <w:rStyle w:val="Hyperlink"/>
          </w:rPr>
          <w:t xml:space="preserve">PP No. 22 Tahun 2021</w:t>
        </w:r>
      </w:hyperlink>
      <w:r>
        <w:t xml:space="preserve">: SPPL, UKL-UPL, atau AMDAL untuk dampak besar, tergantung klasifikasi risiko usaha.</w:t>
      </w:r>
    </w:p>
    <w:p>
      <w:pPr>
        <w:pStyle w:val="Compact"/>
        <w:numPr>
          <w:ilvl w:val="0"/>
          <w:numId w:val="1001"/>
        </w:numPr>
      </w:pPr>
      <w:r>
        <w:rPr>
          <w:b/>
          <w:bCs/>
        </w:rPr>
        <w:t xml:space="preserve">Status laik operasi (PLO).</w:t>
      </w:r>
      <w:r>
        <w:t xml:space="preserve"> </w:t>
      </w:r>
      <w:r>
        <w:t xml:space="preserve">Menyatakan instalasi dan peralatannya aman dioperasikan, berdasarkan inspeksi teknis menurut Permen ESDM No. 32 Tahun 2021.</w:t>
      </w:r>
    </w:p>
    <w:p>
      <w:pPr>
        <w:pStyle w:val="FirstParagraph"/>
      </w:pPr>
      <w:r>
        <w:t xml:space="preserve">Yang sering disalahpahami: ketiga lapis ini bukan satu tumpukan dokumen yang diurus di satu meja. Legalitas niaga sudah menjadi urusan penyedia jauh sebelum kontrak Anda diteken. Pekerjaan rumah pelanggan terpusat pada persetujuan lingkungan dan kesiapan instalasi. Sebagai catatan, regulasi lingkungan usaha migas pun terus disederhanakan: pada 20 Desember 2022,</w:t>
      </w:r>
      <w:r>
        <w:t xml:space="preserve"> </w:t>
      </w:r>
      <w:hyperlink r:id="rId20">
        <w:r>
          <w:rPr>
            <w:rStyle w:val="Hyperlink"/>
          </w:rPr>
          <w:t xml:space="preserve">KLHK bersama ESDM dan SKK Migas</w:t>
        </w:r>
      </w:hyperlink>
      <w:r>
        <w:t xml:space="preserve"> </w:t>
      </w:r>
      <w:r>
        <w:t xml:space="preserve">meluncurkan delapan formulir UKL-UPL standar untuk kegiatan migas, meski cakupannya lebih menyasar kegiatan hulu dan SPBG ketimbang instalasi penerima CNG di lokasi pelanggan.</w:t>
      </w:r>
    </w:p>
    <w:bookmarkEnd w:id="21"/>
    <w:bookmarkStart w:id="23" w:name="Xc2711873b5b63227dcc4470538303fdd12568f0"/>
    <w:p>
      <w:pPr>
        <w:pStyle w:val="Heading2"/>
      </w:pPr>
      <w:r>
        <w:t xml:space="preserve">Apa Itu PLO, Kenapa Bukan SLO, dan Mengapa Wajib?</w:t>
      </w:r>
    </w:p>
    <w:p>
      <w:pPr>
        <w:pStyle w:val="FirstParagraph"/>
      </w:pPr>
      <w:r>
        <w:t xml:space="preserve">PLO (Persetujuan Layak Operasi) adalah izin yang menyatakan instalasi gas Anda laik dan aman dioperasikan. Banyak orang menyebutnya SLO, padahal SLO (Sertifikat Laik Operasi) sebenarnya istilah di sektor ketenagalistrikan dengan payung regulasi terpisah. Untuk instalasi migas termasuk CNG, istilah resminya adalah PLO, yang diterbitkan Ditjen Migas.</w:t>
      </w:r>
    </w:p>
    <w:p>
      <w:pPr>
        <w:pStyle w:val="BodyText"/>
      </w:pPr>
      <w:r>
        <w:t xml:space="preserve">Dasar hukumnya Permen ESDM No. 32 Tahun 2021 tentang Inspeksi Teknis dan Pemeriksaan Keselamatan Instalasi dan Peralatan pada Kegiatan Usaha Minyak dan Gas Bumi, yang ditetapkan 12 November 2021 dan menyederhanakan dua aturan lama, menurut</w:t>
      </w:r>
      <w:r>
        <w:t xml:space="preserve"> </w:t>
      </w:r>
      <w:hyperlink r:id="rId22">
        <w:r>
          <w:rPr>
            <w:rStyle w:val="Hyperlink"/>
          </w:rPr>
          <w:t xml:space="preserve">Ditjen Migas ESDM</w:t>
        </w:r>
      </w:hyperlink>
      <w:r>
        <w:t xml:space="preserve">. Regulasi inilah acuan apakah sebuah instalasi boleh menyandang status laik operasi.</w:t>
      </w:r>
    </w:p>
    <w:p>
      <w:pPr>
        <w:pStyle w:val="BodyText"/>
      </w:pPr>
      <w:r>
        <w:t xml:space="preserve">Kepala Teknik adalah pejabat tertinggi yang wajib dimiliki setiap pemegang izin usaha migas, bertanggung jawab atas keselamatan operasi, dan menjadi pihak yang mengajukan permohonan status laik operasi. Inspeksi teknisnya sendiri, yang mencakup pemeriksaan dokumen, pemeriksaan fisik, dan pengujian peralatan, dilakukan PJIT (Perusahaan Jasa Inspeksi Teknis), yaitu pihak ketiga yang berwenang memeriksa instalasi migas.</w:t>
      </w:r>
    </w:p>
    <w:p>
      <w:pPr>
        <w:pStyle w:val="BodyText"/>
      </w:pPr>
      <w:r>
        <w:t xml:space="preserve">Satu catatan jujur: dokumentasi publik soal PLO lebih banyak menyoroti instalasi hulu migas. Prinsip keselamatan Permen ESDM 32/2021 berlaku umum untuk kegiatan usaha migas, tetapi detail prosedur di level instalasi hilir milik pelanggan sebaiknya dikonfirmasi langsung ke Ditjen Migas atau penyedia, bukan diasumsikan sama persis dengan alur hulu. Tanpa status ini, tidak ada jaminan resmi instalasi memenuhi standar keselamatan.</w:t>
      </w:r>
    </w:p>
    <w:bookmarkEnd w:id="23"/>
    <w:bookmarkStart w:id="24" w:name="X07c8d9582c578eb2502a094b0850ba5c89f5647"/>
    <w:p>
      <w:pPr>
        <w:pStyle w:val="Heading2"/>
      </w:pPr>
      <w:r>
        <w:t xml:space="preserve">Berapa Lama Proses Perizinan Instalasi Gaslink?</w:t>
      </w:r>
    </w:p>
    <w:p>
      <w:pPr>
        <w:pStyle w:val="FirstParagraph"/>
      </w:pPr>
      <w:r>
        <w:t xml:space="preserve">Tidak ada angka baku. Total waktu bergantung pada kesiapan dokumen, skala instalasi, dan kelengkapan persetujuan lingkungan. Sebagai gambaran, verifikasi formulir UKL-UPL standar untuk usaha risiko menengah diproses dalam hitungan hari kerja menurut PP No. 22 Tahun 2021, sedangkan tahap inspeksi teknis dan penerbitan PLO tidak memiliki SLA publik yang pasti.</w:t>
      </w:r>
    </w:p>
    <w:p>
      <w:pPr>
        <w:pStyle w:val="BodyText"/>
      </w:pPr>
      <w:r>
        <w:rPr>
          <w:i/>
          <w:iCs/>
        </w:rPr>
        <w:t xml:space="preserve">[Image 02: Diagram alur horizontal bernomor tahapan perizinan (niat pasang Gaslink, survei lokasi, dokumen lingkungan via OSS, instalasi internal, inspeksi PJIT, penerbitan PLO, gas mengalir). Kode warna penanggung jawab: biru pelanggan, hijau penyedia, abu-abu otoritas; durasi ditulis sebagai rentang estimasi. Teks Bahasa Indonesia. alt: alur bertahap perizinan instalasi Gaslink]</w:t>
      </w:r>
    </w:p>
    <w:p>
      <w:pPr>
        <w:pStyle w:val="Compact"/>
        <w:numPr>
          <w:ilvl w:val="0"/>
          <w:numId w:val="1002"/>
        </w:numPr>
      </w:pPr>
      <w:r>
        <w:rPr>
          <w:b/>
          <w:bCs/>
        </w:rPr>
        <w:t xml:space="preserve">Persiapan dokumen dan klasifikasi risiko.</w:t>
      </w:r>
      <w:r>
        <w:t xml:space="preserve"> </w:t>
      </w:r>
      <w:r>
        <w:t xml:space="preserve">Pelanggan mengecek klasifikasi risiko usahanya lewat sistem OSS berbasis risiko untuk tahu dokumen lingkungan mana yang berlaku.</w:t>
      </w:r>
    </w:p>
    <w:p>
      <w:pPr>
        <w:pStyle w:val="Compact"/>
        <w:numPr>
          <w:ilvl w:val="0"/>
          <w:numId w:val="1002"/>
        </w:numPr>
      </w:pPr>
      <w:r>
        <w:rPr>
          <w:b/>
          <w:bCs/>
        </w:rPr>
        <w:t xml:space="preserve">Persetujuan lingkungan.</w:t>
      </w:r>
      <w:r>
        <w:t xml:space="preserve"> </w:t>
      </w:r>
      <w:r>
        <w:t xml:space="preserve">Menyusun SPPL atau UKL-UPL sesuai hasil klasifikasi. Untuk UKL-UPL standar, verifikasinya berkisar 3–5 hari kerja per tahap (estimasi merujuk PP No. 22 Tahun 2021, bukan janji pasti).</w:t>
      </w:r>
    </w:p>
    <w:p>
      <w:pPr>
        <w:pStyle w:val="Compact"/>
        <w:numPr>
          <w:ilvl w:val="0"/>
          <w:numId w:val="1002"/>
        </w:numPr>
      </w:pPr>
      <w:r>
        <w:rPr>
          <w:b/>
          <w:bCs/>
        </w:rPr>
        <w:t xml:space="preserve">Penyiapan instalasi internal.</w:t>
      </w:r>
      <w:r>
        <w:t xml:space="preserve"> </w:t>
      </w:r>
      <w:r>
        <w:t xml:space="preserve">Memasang instalasi di lokasi sesuai standar keselamatan agar lolos inspeksi.</w:t>
      </w:r>
    </w:p>
    <w:p>
      <w:pPr>
        <w:pStyle w:val="Compact"/>
        <w:numPr>
          <w:ilvl w:val="0"/>
          <w:numId w:val="1002"/>
        </w:numPr>
      </w:pPr>
      <w:r>
        <w:rPr>
          <w:b/>
          <w:bCs/>
        </w:rPr>
        <w:t xml:space="preserve">Inspeksi teknis.</w:t>
      </w:r>
      <w:r>
        <w:t xml:space="preserve"> </w:t>
      </w:r>
      <w:r>
        <w:t xml:space="preserve">PJIT memeriksa dokumen, fisik, dan menguji peralatan instalasi.</w:t>
      </w:r>
    </w:p>
    <w:p>
      <w:pPr>
        <w:pStyle w:val="Compact"/>
        <w:numPr>
          <w:ilvl w:val="0"/>
          <w:numId w:val="1002"/>
        </w:numPr>
      </w:pPr>
      <w:r>
        <w:rPr>
          <w:b/>
          <w:bCs/>
        </w:rPr>
        <w:t xml:space="preserve">Penerbitan PLO.</w:t>
      </w:r>
      <w:r>
        <w:t xml:space="preserve"> </w:t>
      </w:r>
      <w:r>
        <w:t xml:space="preserve">Kepala Teknik mengajukan permohonan status laik operasi ke Ditjen Migas; durasinya bervariasi menurut kompleksitas instalasi dan kelengkapan berkas.</w:t>
      </w:r>
    </w:p>
    <w:p>
      <w:pPr>
        <w:pStyle w:val="Compact"/>
        <w:numPr>
          <w:ilvl w:val="0"/>
          <w:numId w:val="1002"/>
        </w:numPr>
      </w:pPr>
      <w:r>
        <w:rPr>
          <w:b/>
          <w:bCs/>
        </w:rPr>
        <w:t xml:space="preserve">Gas mengalir.</w:t>
      </w:r>
      <w:r>
        <w:t xml:space="preserve"> </w:t>
      </w:r>
      <w:r>
        <w:t xml:space="preserve">Setelah laik operasi, pasokan CNG komersial dapat dimulai.</w:t>
      </w:r>
    </w:p>
    <w:p>
      <w:pPr>
        <w:pStyle w:val="FirstParagraph"/>
      </w:pPr>
      <w:r>
        <w:t xml:space="preserve">Perlakukan angka hari kerja di atas sebagai patokan kasar, bukan garansi; dua instalasi berbeda skala bisa menempuh waktu berbeda meski dasar hukumnya sama.</w:t>
      </w:r>
    </w:p>
    <w:bookmarkEnd w:id="24"/>
    <w:bookmarkStart w:id="25" w:name="X6fce7d3315b5a0fc4b06c08db4d625e617bf77a"/>
    <w:p>
      <w:pPr>
        <w:pStyle w:val="Heading2"/>
      </w:pPr>
      <w:r>
        <w:t xml:space="preserve">Siapa Mengurus Apa: Tanggung Jawab Penyedia vs Pelanggan</w:t>
      </w:r>
    </w:p>
    <w:p>
      <w:pPr>
        <w:pStyle w:val="FirstParagraph"/>
      </w:pPr>
      <w:r>
        <w:t xml:space="preserve">Secara umum, penyedia CNG mengurus legalitas niaga dan angkutan gas bumi di sisinya sendiri serta mendukung komisioning, sementara pelanggan bertanggung jawab atas kesiapan lokasi, dokumen lingkungan sesuai skala usahanya, dan instalasi internal yang harus lolos inspeksi. Pembagian detailnya sebaiknya ditegaskan dalam kontrak kerja sama.</w:t>
      </w:r>
    </w:p>
    <w:p>
      <w:pPr>
        <w:pStyle w:val="BodyText"/>
      </w:pPr>
      <w:r>
        <w:rPr>
          <w:i/>
          <w:iCs/>
        </w:rPr>
        <w:t xml:space="preserve">[Image 03: Infografik dua kolom</w:t>
      </w:r>
      <w:r>
        <w:rPr>
          <w:i/>
          <w:iCs/>
        </w:rPr>
        <w:t xml:space="preserve"> </w:t>
      </w:r>
      <w:r>
        <w:rPr>
          <w:i/>
          <w:iCs/>
        </w:rPr>
        <w:t xml:space="preserve">“Siapa Mengurus Apa”</w:t>
      </w:r>
      <w:r>
        <w:rPr>
          <w:i/>
          <w:iCs/>
        </w:rPr>
        <w:t xml:space="preserve"> </w:t>
      </w:r>
      <w:r>
        <w:rPr>
          <w:i/>
          <w:iCs/>
        </w:rPr>
        <w:t xml:space="preserve">— kiri Penyedia CNG via Gaslink (izin niaga/angkutan, moda GTM, dukungan komisioning), kanan Pelanggan (kesiapan lokasi, dokumen lingkungan, instalasi internal, permohonan laik operasi). Ikon centang tiap poin, palet biru-hijau, teks Bahasa Indonesia. alt: pembagian tanggung jawab perizinan penyedia CNG dan pelanggan Gaslink]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Penyedia CNG (via Gaslink)</w:t>
            </w:r>
          </w:p>
        </w:tc>
        <w:tc>
          <w:tcPr/>
          <w:p>
            <w:pPr>
              <w:pStyle w:val="Compact"/>
            </w:pPr>
            <w:r>
              <w:t xml:space="preserve">Pelanggan</w:t>
            </w:r>
          </w:p>
        </w:tc>
      </w:tr>
      <w:tr>
        <w:tc>
          <w:tcPr/>
          <w:p>
            <w:pPr>
              <w:pStyle w:val="Compact"/>
            </w:pPr>
            <w:r>
              <w:t xml:space="preserve">Izin niaga/angkutan gas bumi</w:t>
            </w:r>
          </w:p>
        </w:tc>
        <w:tc>
          <w:tcPr/>
          <w:p>
            <w:pPr>
              <w:pStyle w:val="Compact"/>
            </w:pPr>
            <w:r>
              <w:t xml:space="preserve">Ya, legalitas sisi penyedia</w:t>
            </w:r>
          </w:p>
        </w:tc>
        <w:tc>
          <w:tcPr/>
          <w:p>
            <w:pPr>
              <w:pStyle w:val="Compact"/>
            </w:pPr>
            <w:r>
              <w:t xml:space="preserve">Tidak relevan</w:t>
            </w:r>
          </w:p>
        </w:tc>
      </w:tr>
      <w:tr>
        <w:tc>
          <w:tcPr/>
          <w:p>
            <w:pPr>
              <w:pStyle w:val="Compact"/>
            </w:pPr>
            <w:r>
              <w:t xml:space="preserve">Moda penyaluran &amp; dukungan komisioning</w:t>
            </w:r>
          </w:p>
        </w:tc>
        <w:tc>
          <w:tcPr/>
          <w:p>
            <w:pPr>
              <w:pStyle w:val="Compact"/>
            </w:pPr>
            <w:r>
              <w:t xml:space="preserve">Ya</w:t>
            </w:r>
          </w:p>
        </w:tc>
        <w:tc>
          <w:tcPr/>
          <w:p>
            <w:pPr>
              <w:pStyle w:val="Compact"/>
            </w:pPr>
            <w:r>
              <w:t xml:space="preserve">-</w:t>
            </w:r>
          </w:p>
        </w:tc>
      </w:tr>
      <w:tr>
        <w:tc>
          <w:tcPr/>
          <w:p>
            <w:pPr>
              <w:pStyle w:val="Compact"/>
            </w:pPr>
            <w:r>
              <w:t xml:space="preserve">Dokumen lingkungan di lokasi</w:t>
            </w:r>
          </w:p>
        </w:tc>
        <w:tc>
          <w:tcPr/>
          <w:p>
            <w:pPr>
              <w:pStyle w:val="Compact"/>
            </w:pPr>
            <w:r>
              <w:t xml:space="preserve">Mendampingi dan memberi informasi</w:t>
            </w:r>
          </w:p>
        </w:tc>
        <w:tc>
          <w:tcPr/>
          <w:p>
            <w:pPr>
              <w:pStyle w:val="Compact"/>
            </w:pPr>
            <w:r>
              <w:t xml:space="preserve">Ya, sesuai skala usahanya</w:t>
            </w:r>
          </w:p>
        </w:tc>
      </w:tr>
      <w:tr>
        <w:tc>
          <w:tcPr/>
          <w:p>
            <w:pPr>
              <w:pStyle w:val="Compact"/>
            </w:pPr>
            <w:r>
              <w:t xml:space="preserve">Instalasi internal di lokasi</w:t>
            </w:r>
          </w:p>
        </w:tc>
        <w:tc>
          <w:tcPr/>
          <w:p>
            <w:pPr>
              <w:pStyle w:val="Compact"/>
            </w:pPr>
            <w:r>
              <w:t xml:space="preserve">Bisa mendukung teknis</w:t>
            </w:r>
          </w:p>
        </w:tc>
        <w:tc>
          <w:tcPr/>
          <w:p>
            <w:pPr>
              <w:pStyle w:val="Compact"/>
            </w:pPr>
            <w:r>
              <w:t xml:space="preserve">Ya, tanggung jawab kesiapan</w:t>
            </w:r>
          </w:p>
        </w:tc>
      </w:tr>
      <w:tr>
        <w:tc>
          <w:tcPr/>
          <w:p>
            <w:pPr>
              <w:pStyle w:val="Compact"/>
            </w:pPr>
            <w:r>
              <w:t xml:space="preserve">Permohonan status laik operasi (PLO)</w:t>
            </w:r>
          </w:p>
        </w:tc>
        <w:tc>
          <w:tcPr/>
          <w:p>
            <w:pPr>
              <w:pStyle w:val="Compact"/>
            </w:pPr>
            <w:r>
              <w:t xml:space="preserve">Mendampingi proses</w:t>
            </w:r>
          </w:p>
        </w:tc>
        <w:tc>
          <w:tcPr/>
          <w:p>
            <w:pPr>
              <w:pStyle w:val="Compact"/>
            </w:pPr>
            <w:r>
              <w:t xml:space="preserve">Ya, via Kepala Teknik terkait</w:t>
            </w:r>
          </w:p>
        </w:tc>
      </w:tr>
    </w:tbl>
    <w:p>
      <w:pPr>
        <w:pStyle w:val="BodyText"/>
      </w:pPr>
      <w:r>
        <w:t xml:space="preserve">Batas ini bukan aturan hukum tunggal, melainkan pola umum model</w:t>
      </w:r>
      <w:r>
        <w:t xml:space="preserve"> </w:t>
      </w:r>
      <w:r>
        <w:rPr>
          <w:i/>
          <w:iCs/>
        </w:rPr>
        <w:t xml:space="preserve">beyond pipeline</w:t>
      </w:r>
      <w:r>
        <w:t xml:space="preserve">; rinciannya bergantung pada kompleksitas instalasi dan isi kontrak. Di sinilah pengalaman penyedia terasa. Penyedia yang rutin melewati alur ini, seperti PGN Gagas lewat Gaslink, biasanya membantu memetakan dokumen yang perlu Anda siapkan sejak survei lokasi. Yang perlu ditegaskan: izin tetap diterbitkan otoritas, penyedia hanya mendampingi.</w:t>
      </w:r>
    </w:p>
    <w:bookmarkEnd w:id="25"/>
    <w:bookmarkStart w:id="27" w:name="X5e61051e38fbfadd8ff58a8f4db4099499f964f"/>
    <w:p>
      <w:pPr>
        <w:pStyle w:val="Heading2"/>
      </w:pPr>
      <w:r>
        <w:t xml:space="preserve">Apa yang Sering Bikin Perizinan Molor (dan Cara Menghindarinya)</w:t>
      </w:r>
    </w:p>
    <w:p>
      <w:pPr>
        <w:pStyle w:val="FirstParagraph"/>
      </w:pPr>
      <w:r>
        <w:t xml:space="preserve">Perizinan paling sering tersendat bukan karena regulasinya rumit, melainkan karena persiapan yang tidak matang: dokumen lingkungan kurang lengkap, klasifikasi risiko usaha keliru diisi di OSS, atau instalasi internal belum memenuhi standar sehingga gagal inspeksi. Variasi kewenangan antardaerah juga menambah waktu.</w:t>
      </w:r>
    </w:p>
    <w:p>
      <w:pPr>
        <w:pStyle w:val="Compact"/>
        <w:numPr>
          <w:ilvl w:val="0"/>
          <w:numId w:val="1003"/>
        </w:numPr>
      </w:pPr>
      <w:r>
        <w:rPr>
          <w:b/>
          <w:bCs/>
        </w:rPr>
        <w:t xml:space="preserve">Dokumen lingkungan tidak lengkap.</w:t>
      </w:r>
      <w:r>
        <w:t xml:space="preserve"> </w:t>
      </w:r>
      <w:r>
        <w:t xml:space="preserve">UKL-UPL atau SPPL yang setengah jadi memicu revisi bolak-balik. Siapkan sejak awal dan pastikan sesuai klasifikasi OSS Anda.</w:t>
      </w:r>
    </w:p>
    <w:p>
      <w:pPr>
        <w:pStyle w:val="Compact"/>
        <w:numPr>
          <w:ilvl w:val="0"/>
          <w:numId w:val="1003"/>
        </w:numPr>
      </w:pPr>
      <w:r>
        <w:rPr>
          <w:b/>
          <w:bCs/>
        </w:rPr>
        <w:t xml:space="preserve">Salah klasifikasi risiko.</w:t>
      </w:r>
      <w:r>
        <w:t xml:space="preserve"> </w:t>
      </w:r>
      <w:r>
        <w:t xml:space="preserve">Jenis dokumen ditentukan otomatis berdasarkan KBLI dan skala usaha di OSS, jadi salah input berujung dokumen yang tidak sesuai. Verifikasi klasifikasinya sebelum menyusun apa pun.</w:t>
      </w:r>
    </w:p>
    <w:p>
      <w:pPr>
        <w:pStyle w:val="Compact"/>
        <w:numPr>
          <w:ilvl w:val="0"/>
          <w:numId w:val="1003"/>
        </w:numPr>
      </w:pPr>
      <w:r>
        <w:rPr>
          <w:b/>
          <w:bCs/>
        </w:rPr>
        <w:t xml:space="preserve">Instalasi belum standar.</w:t>
      </w:r>
      <w:r>
        <w:t xml:space="preserve"> </w:t>
      </w:r>
      <w:r>
        <w:t xml:space="preserve">Instalasi yang tidak rapi gagal inspeksi teknis dan harus diperbaiki, memundurkan jadwal. Bangun sesuai standar keselamatan sejak awal.</w:t>
      </w:r>
    </w:p>
    <w:p>
      <w:pPr>
        <w:pStyle w:val="Compact"/>
        <w:numPr>
          <w:ilvl w:val="0"/>
          <w:numId w:val="1003"/>
        </w:numPr>
      </w:pPr>
      <w:r>
        <w:rPr>
          <w:b/>
          <w:bCs/>
        </w:rPr>
        <w:t xml:space="preserve">Variasi PTSP antardaerah.</w:t>
      </w:r>
      <w:r>
        <w:t xml:space="preserve"> </w:t>
      </w:r>
      <w:r>
        <w:t xml:space="preserve">Sebagian persetujuan lingkungan dilimpahkan ke DPMPTSP atau pemda setempat, sehingga interpretasi dan responsivitasnya bisa berbeda meski dasar hukumnya sama.</w:t>
      </w:r>
    </w:p>
    <w:p>
      <w:pPr>
        <w:pStyle w:val="FirstParagraph"/>
      </w:pPr>
      <w:r>
        <w:t xml:space="preserve">Cara paling praktis menekan risiko ini adalah menyiapkan dokumen lebih awal dan memilih</w:t>
      </w:r>
      <w:r>
        <w:t xml:space="preserve"> </w:t>
      </w:r>
      <w:hyperlink r:id="rId26">
        <w:r>
          <w:rPr>
            <w:rStyle w:val="Hyperlink"/>
          </w:rPr>
          <w:t xml:space="preserve">penyedia CNG</w:t>
        </w:r>
      </w:hyperlink>
      <w:r>
        <w:t xml:space="preserve"> </w:t>
      </w:r>
      <w:r>
        <w:t xml:space="preserve">yang mau mendampingi legalitas, bukan sekadar mengirim gas lalu pergi.</w:t>
      </w:r>
    </w:p>
    <w:bookmarkEnd w:id="27"/>
    <w:bookmarkStart w:id="34" w:name="faq-pertanyaan-yang-sering-diajukan"/>
    <w:p>
      <w:pPr>
        <w:pStyle w:val="Heading2"/>
      </w:pPr>
      <w:r>
        <w:t xml:space="preserve">FAQ (Pertanyaan yang Sering Diajukan)</w:t>
      </w:r>
    </w:p>
    <w:bookmarkStart w:id="28" w:name="apa-bedanya-slo-dan-plo"/>
    <w:p>
      <w:pPr>
        <w:pStyle w:val="Heading3"/>
      </w:pPr>
      <w:r>
        <w:t xml:space="preserve">Apa bedanya SLO dan PLO?</w:t>
      </w:r>
    </w:p>
    <w:p>
      <w:pPr>
        <w:pStyle w:val="FirstParagraph"/>
      </w:pPr>
      <w:r>
        <w:t xml:space="preserve">SLO (Sertifikat Laik Operasi) adalah istilah yang lazim di sektor ketenagalistrikan. Untuk instalasi gas bumi termasuk CNG, istilah resminya adalah PLO (Persetujuan Layak Operasi), yang diterbitkan Ditjen Migas berdasarkan Permen ESDM No. 32 Tahun 2021. Keduanya berbeda payung regulasi, jadi sebaiknya tidak dipakai bergantian.</w:t>
      </w:r>
    </w:p>
    <w:bookmarkEnd w:id="28"/>
    <w:bookmarkStart w:id="29" w:name="apa-itu-permen-esdm-32-tahun-2021"/>
    <w:p>
      <w:pPr>
        <w:pStyle w:val="Heading3"/>
      </w:pPr>
      <w:r>
        <w:t xml:space="preserve">Apa itu Permen ESDM 32 Tahun 2021?</w:t>
      </w:r>
    </w:p>
    <w:p>
      <w:pPr>
        <w:pStyle w:val="FirstParagraph"/>
      </w:pPr>
      <w:r>
        <w:t xml:space="preserve">Peraturan tentang Inspeksi Teknis dan Pemeriksaan Keselamatan Instalasi dan Peralatan pada Kegiatan Usaha Minyak dan Gas Bumi, ditetapkan 12 November 2021. Regulasi ini menggabungkan dua aturan lama dan menjadi dasar peran Kepala Teknik serta penerbitan status laik operasi instalasi migas, termasuk instalasi CNG.</w:t>
      </w:r>
    </w:p>
    <w:bookmarkEnd w:id="29"/>
    <w:bookmarkStart w:id="30" w:name="Xad3a738ee438413db55517ad726a6dbe65a2d9f"/>
    <w:p>
      <w:pPr>
        <w:pStyle w:val="Heading3"/>
      </w:pPr>
      <w:r>
        <w:t xml:space="preserve">Perlukah UKL-UPL untuk instalasi CNG saya?</w:t>
      </w:r>
    </w:p>
    <w:p>
      <w:pPr>
        <w:pStyle w:val="FirstParagraph"/>
      </w:pPr>
      <w:r>
        <w:t xml:space="preserve">Tergantung klasifikasi risiko usaha di sistem OSS berbasis risiko. Usaha berisiko menengah umumnya wajib menyusun UKL-UPL, sedangkan yang lebih rendah cukup SPPL. Karena penentuannya berbasis KBLI dan skala usaha Anda, tidak ada satu angka kapasitas baku; sebaiknya dicek langsung lewat OSS atau dikonsultasikan dengan penyedia.</w:t>
      </w:r>
    </w:p>
    <w:bookmarkEnd w:id="30"/>
    <w:bookmarkStart w:id="31" w:name="izin-diurus-penyedia-atau-pelanggan"/>
    <w:p>
      <w:pPr>
        <w:pStyle w:val="Heading3"/>
      </w:pPr>
      <w:r>
        <w:t xml:space="preserve">Izin diurus penyedia atau pelanggan?</w:t>
      </w:r>
    </w:p>
    <w:p>
      <w:pPr>
        <w:pStyle w:val="FirstParagraph"/>
      </w:pPr>
      <w:r>
        <w:t xml:space="preserve">Keduanya, dengan peran berbeda. Penyedia CNG umumnya sudah memegang izin niaga dan angkutan gas bumi di sisinya sendiri serta mendampingi komisioning. Pelanggan bertanggung jawab atas kesiapan lokasi, dokumen lingkungan sesuai skala usaha, dan instalasi internal yang harus lolos inspeksi. Detailnya sebaiknya dikonfirmasi dalam kontrak.</w:t>
      </w:r>
    </w:p>
    <w:bookmarkEnd w:id="31"/>
    <w:bookmarkStart w:id="32" w:name="X356d471e6e6a4536b94eeef1cb61c1139c9d0d6"/>
    <w:p>
      <w:pPr>
        <w:pStyle w:val="Heading3"/>
      </w:pPr>
      <w:r>
        <w:t xml:space="preserve">Apa risiko mengoperasikan instalasi tanpa laik operasi?</w:t>
      </w:r>
    </w:p>
    <w:p>
      <w:pPr>
        <w:pStyle w:val="FirstParagraph"/>
      </w:pPr>
      <w:r>
        <w:t xml:space="preserve">Tanpa PLO, belum ada jaminan resmi bahwa instalasi memenuhi standar keselamatan Permen ESDM No. 32 Tahun 2021. Ini berisiko pada keselamatan kerja, potensi insiden teknis, dan kepatuhan perizinan usaha migas. Tahap inspeksi dan penerbitan laik operasi sebaiknya tidak dilewati sebelum gas dialirkan secara komersial.</w:t>
      </w:r>
    </w:p>
    <w:bookmarkEnd w:id="32"/>
    <w:bookmarkStart w:id="33" w:name="Xe7841e4eb831f936f40fca4e5fe6ea10845094c"/>
    <w:p>
      <w:pPr>
        <w:pStyle w:val="Heading3"/>
      </w:pPr>
      <w:r>
        <w:t xml:space="preserve">Apa bedanya izin lingkungan dan izin laik operasi?</w:t>
      </w:r>
    </w:p>
    <w:p>
      <w:pPr>
        <w:pStyle w:val="FirstParagraph"/>
      </w:pPr>
      <w:r>
        <w:t xml:space="preserve">Izin lingkungan (SPPL/UKL-UPL/AMDAL) menilai dampak kegiatan usaha terhadap lingkungan sekitar dan mengacu PP No. 22 Tahun 2021. Izin laik operasi (PLO) menilai keselamatan teknis instalasinya sendiri berdasarkan Permen ESDM No. 32 Tahun 2021. Keduanya dokumen berbeda dan biasanya diurus pada tahap yang berbeda pula.</w:t>
      </w:r>
    </w:p>
    <w:bookmarkEnd w:id="33"/>
    <w:bookmarkEnd w:id="34"/>
    <w:bookmarkStart w:id="35" w:name="kesimpulan"/>
    <w:p>
      <w:pPr>
        <w:pStyle w:val="Heading2"/>
      </w:pPr>
      <w:r>
        <w:t xml:space="preserve">Kesimpulan</w:t>
      </w:r>
    </w:p>
    <w:p>
      <w:pPr>
        <w:pStyle w:val="FirstParagraph"/>
      </w:pPr>
      <w:r>
        <w:t xml:space="preserve">Kembali ke kekhawatiran di awal: perizinan instalasi Gaslink memang berlapis, tetapi bukan labirin tanpa peta. Kunci menghindari molor bukan menghafal setiap pasal, melainkan tahu tiga lapis izinnya, siapa menanggung apa, lalu menyiapkan dokumen lingkungan serta instalasi sejak survei lokasi. Angka waktu yang beredar layak diperlakukan sebagai estimasi, bukan garansi. Sebagai anak usaha PGN, bagian dari Subholding Gas Pertamina, PGN Gagas terbiasa mendampingi pelanggan Gaslink melewati komisioning dan inspeksi, didukung sertifikasi K3 ISO 45001:2018 untuk distribusi CNG.</w:t>
      </w:r>
    </w:p>
    <w:p>
      <w:pPr>
        <w:pStyle w:val="BodyText"/>
      </w:pPr>
      <w:r>
        <w:t xml:space="preserve">Untuk mendiskusikan kesiapan lokasi dan pendampingan perizinan pasokan gas bumi di perusahaan Anda, kunjungi gagas.co.id.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gagas.co.id/gasku/" TargetMode="External" /><Relationship Type="http://schemas.openxmlformats.org/officeDocument/2006/relationships/hyperlink" Id="rId17" Target="https://gagas.co.id/gaslink/" TargetMode="External" /><Relationship Type="http://schemas.openxmlformats.org/officeDocument/2006/relationships/hyperlink" Id="rId26" Target="https://gagas.co.id/perusahaan-cng-indonesia/" TargetMode="External" /><Relationship Type="http://schemas.openxmlformats.org/officeDocument/2006/relationships/hyperlink" Id="rId22" Target="https://migas.esdm.go.id/post/read/sosialisasi-permen-esdm-32-tahun-2021-simplifikasi-regulasi-inspeksi-teknis-dan-pemeriksaan-keselamatan-instalasi-migas" TargetMode="External" /><Relationship Type="http://schemas.openxmlformats.org/officeDocument/2006/relationships/hyperlink" Id="rId19" Target="https://peraturan.go.id/id/pp-no-22-tahun-2021" TargetMode="External" /><Relationship Type="http://schemas.openxmlformats.org/officeDocument/2006/relationships/hyperlink" Id="rId20" Target="https://ppid.menlhk.go.id/berita/siaran-pers/6945/klhk-esdm-dan-skk-migas-luncurkan-delapan-formulir-ukl-upl-standar-pengelolaan-lingkungan-hidup-usaha-migas" TargetMode="External" /></Relationships>
</file>

<file path=word/_rels/footnotes.xml.rels><?xml version="1.0" encoding="UTF-8"?><Relationships xmlns="http://schemas.openxmlformats.org/package/2006/relationships"><Relationship Type="http://schemas.openxmlformats.org/officeDocument/2006/relationships/hyperlink" Id="rId18" Target="https://gagas.co.id/gasku/" TargetMode="External" /><Relationship Type="http://schemas.openxmlformats.org/officeDocument/2006/relationships/hyperlink" Id="rId17" Target="https://gagas.co.id/gaslink/" TargetMode="External" /><Relationship Type="http://schemas.openxmlformats.org/officeDocument/2006/relationships/hyperlink" Id="rId26" Target="https://gagas.co.id/perusahaan-cng-indonesia/" TargetMode="External" /><Relationship Type="http://schemas.openxmlformats.org/officeDocument/2006/relationships/hyperlink" Id="rId22" Target="https://migas.esdm.go.id/post/read/sosialisasi-permen-esdm-32-tahun-2021-simplifikasi-regulasi-inspeksi-teknis-dan-pemeriksaan-keselamatan-instalasi-migas" TargetMode="External" /><Relationship Type="http://schemas.openxmlformats.org/officeDocument/2006/relationships/hyperlink" Id="rId19" Target="https://peraturan.go.id/id/pp-no-22-tahun-2021" TargetMode="External" /><Relationship Type="http://schemas.openxmlformats.org/officeDocument/2006/relationships/hyperlink" Id="rId20" Target="https://ppid.menlhk.go.id/berita/siaran-pers/6945/klhk-esdm-dan-skk-migas-luncurkan-delapan-formulir-ukl-upl-standar-pengelolaan-lingkungan-hidup-usaha-mig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2026-08-11T07:59:10Z</dcterms:created>
  <dcterms:modified xsi:type="dcterms:W3CDTF">2026-08-11T07:59:10Z</dcterms:modified>
</cp:coreProperties>
</file>

<file path=docProps/custom.xml><?xml version="1.0" encoding="utf-8"?>
<Properties xmlns="http://schemas.openxmlformats.org/officeDocument/2006/custom-properties" xmlns:vt="http://schemas.openxmlformats.org/officeDocument/2006/docPropsVTypes"/>
</file>