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"Seberapa Bersih Gas Bumi? Jejak Karbon Well-to-Burner"</w:t>
      </w:r>
      <w:r>
        <w:br/>
      </w:r>
      <w:r>
        <w:rPr>
          <w:rStyle w:val="FunctionTok"/>
        </w:rPr>
        <w:t xml:space="preserve">meta_title</w:t>
      </w:r>
      <w:r>
        <w:rPr>
          <w:rStyle w:val="KeywordTok"/>
        </w:rPr>
        <w:t xml:space="preserve">:</w:t>
      </w:r>
      <w:r>
        <w:rPr>
          <w:rStyle w:val="AttributeTok"/>
        </w:rPr>
        <w:t xml:space="preserve"> </w:t>
      </w:r>
      <w:r>
        <w:rPr>
          <w:rStyle w:val="StringTok"/>
        </w:rPr>
        <w:t xml:space="preserve">"Jejak Karbon Gas Bumi: Well-to-Burner &amp; Emisi Metana"</w:t>
      </w:r>
      <w:r>
        <w:br/>
      </w:r>
      <w:r>
        <w:rPr>
          <w:rStyle w:val="FunctionTok"/>
        </w:rPr>
        <w:t xml:space="preserve">meta_description</w:t>
      </w:r>
      <w:r>
        <w:rPr>
          <w:rStyle w:val="KeywordTok"/>
        </w:rPr>
        <w:t xml:space="preserve">:</w:t>
      </w:r>
      <w:r>
        <w:rPr>
          <w:rStyle w:val="AttributeTok"/>
        </w:rPr>
        <w:t xml:space="preserve"> </w:t>
      </w:r>
      <w:r>
        <w:rPr>
          <w:rStyle w:val="StringTok"/>
        </w:rPr>
        <w:t xml:space="preserve">"Seberapa bersih gas bumi sebenarnya? Analisis jejak karbon well-to-burner: emisi pembakaran terendah (EIA), peran metana &amp; GWP, serta ambang kebocoran."</w:t>
      </w:r>
      <w:r>
        <w:br/>
      </w:r>
      <w:r>
        <w:rPr>
          <w:rStyle w:val="FunctionTok"/>
        </w:rPr>
        <w:t xml:space="preserve">slug</w:t>
      </w:r>
      <w:r>
        <w:rPr>
          <w:rStyle w:val="KeywordTok"/>
        </w:rPr>
        <w:t xml:space="preserve">:</w:t>
      </w:r>
      <w:r>
        <w:rPr>
          <w:rStyle w:val="AttributeTok"/>
        </w:rPr>
        <w:t xml:space="preserve"> </w:t>
      </w:r>
      <w:r>
        <w:rPr>
          <w:rStyle w:val="StringTok"/>
        </w:rPr>
        <w:t xml:space="preserve">"jejak-karbon-gas-bumi-well-to-burner"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"jejak karbon gas bumi"</w:t>
      </w:r>
      <w:r>
        <w:rPr>
          <w:rStyle w:val="KeywordTok"/>
        </w:rPr>
        <w:t xml:space="preserve">,</w:t>
      </w:r>
      <w:r>
        <w:rPr>
          <w:rStyle w:val="AttributeTok"/>
        </w:rPr>
        <w:t xml:space="preserve"> </w:t>
      </w:r>
      <w:r>
        <w:rPr>
          <w:rStyle w:val="StringTok"/>
        </w:rPr>
        <w:t xml:space="preserve">"analisis well-to-burner"</w:t>
      </w:r>
      <w:r>
        <w:rPr>
          <w:rStyle w:val="KeywordTok"/>
        </w:rPr>
        <w:t xml:space="preserve">,</w:t>
      </w:r>
      <w:r>
        <w:rPr>
          <w:rStyle w:val="AttributeTok"/>
        </w:rPr>
        <w:t xml:space="preserve"> </w:t>
      </w:r>
      <w:r>
        <w:rPr>
          <w:rStyle w:val="StringTok"/>
        </w:rPr>
        <w:t xml:space="preserve">"emisi metana"</w:t>
      </w:r>
      <w:r>
        <w:rPr>
          <w:rStyle w:val="KeywordTok"/>
        </w:rPr>
        <w:t xml:space="preserve">,</w:t>
      </w:r>
      <w:r>
        <w:rPr>
          <w:rStyle w:val="AttributeTok"/>
        </w:rPr>
        <w:t xml:space="preserve"> </w:t>
      </w:r>
      <w:r>
        <w:rPr>
          <w:rStyle w:val="StringTok"/>
        </w:rPr>
        <w:t xml:space="preserve">"GWP metana"</w:t>
      </w:r>
      <w:r>
        <w:rPr>
          <w:rStyle w:val="KeywordTok"/>
        </w:rPr>
        <w:t xml:space="preserve">,</w:t>
      </w:r>
      <w:r>
        <w:rPr>
          <w:rStyle w:val="AttributeTok"/>
        </w:rPr>
        <w:t xml:space="preserve"> </w:t>
      </w:r>
      <w:r>
        <w:rPr>
          <w:rStyle w:val="StringTok"/>
        </w:rPr>
        <w:t xml:space="preserve">"gas bumi vs batubara"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"BBG untuk transportasi"</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"https://www.eia.gov/environment/emissions/co2_vol_mass.php"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"Faktor emisi CO2 pembakaran gas bumi, LPG, solar, dan batubara per MMBTU"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"https://www.iea.org/reports/global-methane-tracker-2026/key-findings"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"Pangsa sektor fosil ~35% emisi metana antropogenik global; posisi Indonesia"</w:t>
      </w:r>
      <w:r>
        <w:br/>
      </w:r>
      <w:r>
        <w:rPr>
          <w:rStyle w:val="FunctionTok"/>
        </w:rPr>
        <w:t xml:space="preserve">brief_id</w:t>
      </w:r>
      <w:r>
        <w:rPr>
          <w:rStyle w:val="KeywordTok"/>
        </w:rPr>
        <w:t xml:space="preserve">:</w:t>
      </w:r>
      <w:r>
        <w:rPr>
          <w:rStyle w:val="AttributeTok"/>
        </w:rPr>
        <w:t xml:space="preserve"> </w:t>
      </w:r>
      <w:r>
        <w:rPr>
          <w:rStyle w:val="StringTok"/>
        </w:rPr>
        <w:t xml:space="preserve">"gaslink-03"</w:t>
      </w:r>
      <w:r>
        <w:br/>
      </w:r>
      <w:r>
        <w:rPr>
          <w:rStyle w:val="FunctionTok"/>
        </w:rPr>
        <w:t xml:space="preserve">target_word_count</w:t>
      </w:r>
      <w:r>
        <w:rPr>
          <w:rStyle w:val="KeywordTok"/>
        </w:rPr>
        <w:t xml:space="preserve">:</w:t>
      </w:r>
      <w:r>
        <w:rPr>
          <w:rStyle w:val="AttributeTok"/>
        </w:rPr>
        <w:t xml:space="preserve"> </w:t>
      </w:r>
      <w:r>
        <w:rPr>
          <w:rStyle w:val="DecValTok"/>
        </w:rPr>
        <w:t xml:space="preserve">1500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1517</w:t>
      </w:r>
    </w:p>
    <w:p>
      <w:r>
        <w:pict>
          <v:rect style="width:0;height:1.5pt" o:hralign="center" o:hrstd="t" o:hr="t"/>
        </w:pict>
      </w:r>
    </w:p>
    <w:bookmarkEnd w:id="16"/>
    <w:bookmarkStart w:id="35" w:name="Xdafcef244ab64ef141ccd3ab568b899b43fb156"/>
    <w:p>
      <w:pPr>
        <w:pStyle w:val="Heading1"/>
      </w:pPr>
      <w:r>
        <w:t xml:space="preserve">Seberapa Bersih Gas Bumi? Jejak Karbon Well-to-Burner</w:t>
      </w:r>
    </w:p>
    <w:p>
      <w:pPr>
        <w:pStyle w:val="FirstParagraph"/>
      </w:pPr>
      <w:r>
        <w:t xml:space="preserve">“Gas bumi lebih bersih”</w:t>
      </w:r>
      <w:r>
        <w:t xml:space="preserve"> </w:t>
      </w:r>
      <w:r>
        <w:t xml:space="preserve">adalah kalimat yang muncul di hampir setiap brosur energi, termasuk halaman produk seperti</w:t>
      </w:r>
      <w:r>
        <w:t xml:space="preserve"> </w:t>
      </w:r>
      <w:hyperlink r:id="rId17">
        <w:r>
          <w:rPr>
            <w:rStyle w:val="Hyperlink"/>
          </w:rPr>
          <w:t xml:space="preserve">Gaslink</w:t>
        </w:r>
      </w:hyperlink>
      <w:r>
        <w:t xml:space="preserve"> </w:t>
      </w:r>
      <w:r>
        <w:t xml:space="preserve">yang menyebut rasio emisi karbonnya jauh lebih rendah. Tapi manajer keberlanjutan dan insinyur pabrik yang teliti mulai bertanya balik: seberapa bersih, dan bersih menurut hitungan yang mana? Jawabannya bergantung pada satu hal, apakah Anda hanya menghitung emisi saat gas dibakar, atau seluruh rantai dari sumur hingga</w:t>
      </w:r>
      <w:r>
        <w:t xml:space="preserve"> </w:t>
      </w:r>
      <w:r>
        <w:rPr>
          <w:i/>
          <w:iCs/>
        </w:rPr>
        <w:t xml:space="preserve">burner</w:t>
      </w:r>
      <w:r>
        <w:t xml:space="preserve"> </w:t>
      </w:r>
      <w:r>
        <w:t xml:space="preserve">termasuk metana yang bocor di hulu. Artikel ini membedah jejak karbon gas bumi secara</w:t>
      </w:r>
      <w:r>
        <w:t xml:space="preserve"> </w:t>
      </w:r>
      <w:r>
        <w:rPr>
          <w:i/>
          <w:iCs/>
        </w:rPr>
        <w:t xml:space="preserve">well-to-burner</w:t>
      </w:r>
      <w:r>
        <w:t xml:space="preserve">: memisahkan emisi pembakaran dari emisi metana, dengan angka dan sumber, tanpa klaim</w:t>
      </w:r>
      <w:r>
        <w:t xml:space="preserve"> </w:t>
      </w:r>
      <w:r>
        <w:t xml:space="preserve">“nol emisi”</w:t>
      </w:r>
      <w:r>
        <w:t xml:space="preserve">.</w:t>
      </w:r>
    </w:p>
    <w:p>
      <w:pPr>
        <w:pStyle w:val="BlockText"/>
      </w:pPr>
      <w:r>
        <w:rPr>
          <w:b/>
          <w:bCs/>
        </w:rPr>
        <w:t xml:space="preserve">Ringkasnya:</w:t>
      </w:r>
      <w:r>
        <w:t xml:space="preserve"> </w:t>
      </w:r>
      <w:r>
        <w:t xml:space="preserve">Analisis</w:t>
      </w:r>
      <w:r>
        <w:t xml:space="preserve"> </w:t>
      </w:r>
      <w:r>
        <w:rPr>
          <w:i/>
          <w:iCs/>
        </w:rPr>
        <w:t xml:space="preserve">well-to-burner</w:t>
      </w:r>
      <w:r>
        <w:t xml:space="preserve"> </w:t>
      </w:r>
      <w:r>
        <w:t xml:space="preserve">(</w:t>
      </w:r>
      <w:r>
        <w:rPr>
          <w:i/>
          <w:iCs/>
        </w:rPr>
        <w:t xml:space="preserve">life cycle assessment</w:t>
      </w:r>
      <w:r>
        <w:t xml:space="preserve"> </w:t>
      </w:r>
      <w:r>
        <w:t xml:space="preserve">gas bumi) adalah metode menghitung emisi gas rumah kaca sepanjang rantai pasok gas bumi, dari produksi di sumur, pengolahan, dan transportasi, hingga pembakaran akhir, bukan hanya emisi saat gas dibakar. Pendekatan ini penting karena metana yang bocor di hulu tidak tertangkap bila hanya emisi pembakaran yang dihitung.</w:t>
      </w:r>
    </w:p>
    <w:p>
      <w:pPr>
        <w:pStyle w:val="FirstParagraph"/>
      </w:pPr>
      <w:r>
        <w:rPr>
          <w:i/>
          <w:iCs/>
        </w:rPr>
        <w:t xml:space="preserve">[Image 01: Infografik alur horizontal well-to-burner, menampilkan tahapan</w:t>
      </w:r>
      <w:r>
        <w:rPr>
          <w:i/>
          <w:iCs/>
        </w:rPr>
        <w:t xml:space="preserve"> </w:t>
      </w:r>
      <w:r>
        <w:rPr>
          <w:i/>
          <w:iCs/>
        </w:rPr>
        <w:t xml:space="preserve">“Sumur produksi → Pengolahan → Transportasi/GTM → Distribusi → Pembakaran akhir”</w:t>
      </w:r>
      <w:r>
        <w:rPr>
          <w:i/>
          <w:iCs/>
        </w:rPr>
        <w:t xml:space="preserve">, dengan ikon kecil</w:t>
      </w:r>
      <w:r>
        <w:rPr>
          <w:i/>
          <w:iCs/>
        </w:rPr>
        <w:t xml:space="preserve"> </w:t>
      </w:r>
      <w:r>
        <w:rPr>
          <w:i/>
          <w:iCs/>
        </w:rPr>
        <w:t xml:space="preserve">“kebocoran metana”</w:t>
      </w:r>
      <w:r>
        <w:rPr>
          <w:i/>
          <w:iCs/>
        </w:rPr>
        <w:t xml:space="preserve"> </w:t>
      </w:r>
      <w:r>
        <w:rPr>
          <w:i/>
          <w:iCs/>
        </w:rPr>
        <w:t xml:space="preserve">di titik hulu dan tengah, gradasi warna hijau (rendah emisi) ke oranye ke arah kanan, label tiap tahap dalam Bahasa Indonesia, gaya korporat bersih. Alt-text:</w:t>
      </w:r>
      <w:r>
        <w:rPr>
          <w:i/>
          <w:iCs/>
        </w:rPr>
        <w:t xml:space="preserve"> </w:t>
      </w:r>
      <w:r>
        <w:rPr>
          <w:i/>
          <w:iCs/>
        </w:rPr>
        <w:t xml:space="preserve">“Diagram alur well-to-burner jejak karbon gas bumi dari sumur hingga pembakaran”</w:t>
      </w:r>
      <w:r>
        <w:rPr>
          <w:i/>
          <w:iCs/>
        </w:rPr>
        <w:t xml:space="preserve">.]</w:t>
      </w:r>
    </w:p>
    <w:bookmarkStart w:id="19" w:name="X10120e63cdff57d2ec90f7e5d4505c856e8df16"/>
    <w:p>
      <w:pPr>
        <w:pStyle w:val="Heading2"/>
      </w:pPr>
      <w:r>
        <w:t xml:space="preserve">Apa Itu Analisis Well-to-Burner dan Kenapa Penting Menilai Gas Bumi?</w:t>
      </w:r>
    </w:p>
    <w:p>
      <w:pPr>
        <w:pStyle w:val="FirstParagraph"/>
      </w:pPr>
      <w:r>
        <w:rPr>
          <w:i/>
          <w:iCs/>
        </w:rPr>
        <w:t xml:space="preserve">Well-to-burner</w:t>
      </w:r>
      <w:r>
        <w:t xml:space="preserve"> </w:t>
      </w:r>
      <w:r>
        <w:t xml:space="preserve">adalah pendekatan</w:t>
      </w:r>
      <w:r>
        <w:t xml:space="preserve"> </w:t>
      </w:r>
      <w:r>
        <w:rPr>
          <w:i/>
          <w:iCs/>
        </w:rPr>
        <w:t xml:space="preserve">life cycle assessment</w:t>
      </w:r>
      <w:r>
        <w:t xml:space="preserve"> </w:t>
      </w:r>
      <w:r>
        <w:t xml:space="preserve">(LCA) yang menghitung emisi gas rumah kaca di setiap tahap: produksi di sumur, pengolahan, transportasi, hingga pembakaran akhir. Bedanya dengan hitungan konvensional, emisi pembakaran hanya melihat titik terakhir, sedangkan</w:t>
      </w:r>
      <w:r>
        <w:t xml:space="preserve"> </w:t>
      </w:r>
      <w:r>
        <w:rPr>
          <w:i/>
          <w:iCs/>
        </w:rPr>
        <w:t xml:space="preserve">well-to-burner</w:t>
      </w:r>
      <w:r>
        <w:t xml:space="preserve"> </w:t>
      </w:r>
      <w:r>
        <w:t xml:space="preserve">menangkap juga metana yang lepas sebelum gas sempat dibakar.</w:t>
      </w:r>
    </w:p>
    <w:p>
      <w:pPr>
        <w:pStyle w:val="BodyText"/>
      </w:pPr>
      <w:r>
        <w:t xml:space="preserve">Metodologi ini bukan hal baru. Lembaga seperti National Energy Technology Laboratory (NETL) di bawah Departemen Energi AS memakainya untuk membandingkan gas bumi, batubara, dan LNG secara adil sepanjang rantai pasok. Logikanya sederhana untuk industri di Indonesia, termasuk pengguna</w:t>
      </w:r>
      <w:r>
        <w:t xml:space="preserve"> </w:t>
      </w:r>
      <w:hyperlink r:id="rId18">
        <w:r>
          <w:rPr>
            <w:rStyle w:val="Hyperlink"/>
          </w:rPr>
          <w:t xml:space="preserve">CNG di Indonesia</w:t>
        </w:r>
      </w:hyperlink>
      <w:r>
        <w:t xml:space="preserve"> </w:t>
      </w:r>
      <w:r>
        <w:t xml:space="preserve">yang beralih dari solar: kalau Anda ingin klaim</w:t>
      </w:r>
      <w:r>
        <w:t xml:space="preserve"> </w:t>
      </w:r>
      <w:r>
        <w:t xml:space="preserve">“lebih bersih”</w:t>
      </w:r>
      <w:r>
        <w:t xml:space="preserve"> </w:t>
      </w:r>
      <w:r>
        <w:t xml:space="preserve">yang bisa dipertahankan di depan auditor ESG, hitung seluruh rantai, bukan cuma cerobong.</w:t>
      </w:r>
    </w:p>
    <w:bookmarkEnd w:id="19"/>
    <w:bookmarkStart w:id="21" w:name="X228794e0ec53395e10c28d22cdf77474831cfd4"/>
    <w:p>
      <w:pPr>
        <w:pStyle w:val="Heading2"/>
      </w:pPr>
      <w:r>
        <w:t xml:space="preserve">Emisi Pembakaran: Kenapa Gas Bumi Memang Paling Rendah CO2</w:t>
      </w:r>
    </w:p>
    <w:p>
      <w:pPr>
        <w:pStyle w:val="FirstParagraph"/>
      </w:pPr>
      <w:r>
        <w:t xml:space="preserve">Untuk emisi pembakaran saja, gas bumi memang paling rendah CO2 di antara bahan bakar fosil umum. Menurut US Energy Information Administration (</w:t>
      </w:r>
      <w:hyperlink r:id="rId20">
        <w:r>
          <w:rPr>
            <w:rStyle w:val="Hyperlink"/>
          </w:rPr>
          <w:t xml:space="preserve">EIA</w:t>
        </w:r>
      </w:hyperlink>
      <w:r>
        <w:t xml:space="preserve">, data 2022), gas bumi melepas 52,91 kg CO2 per MMBTU, sekitar 45% lebih rendah dari batubara (95,99). Bagian klaim</w:t>
      </w:r>
      <w:r>
        <w:t xml:space="preserve"> </w:t>
      </w:r>
      <w:r>
        <w:t xml:space="preserve">“lebih bersih”</w:t>
      </w:r>
      <w:r>
        <w:t xml:space="preserve"> </w:t>
      </w:r>
      <w:r>
        <w:t xml:space="preserve">ini benar dan bisa dikutip.</w:t>
      </w:r>
    </w:p>
    <w:p>
      <w:pPr>
        <w:pStyle w:val="BodyText"/>
      </w:pPr>
      <w:r>
        <w:t xml:space="preserve">Angka ini murni sisi</w:t>
      </w:r>
      <w:r>
        <w:t xml:space="preserve"> </w:t>
      </w:r>
      <w:r>
        <w:rPr>
          <w:i/>
          <w:iCs/>
        </w:rPr>
        <w:t xml:space="preserve">combustion</w:t>
      </w:r>
      <w:r>
        <w:t xml:space="preserve">, reaksi kimia saat gas dibakar. Molekul metana (CH4) punya rasio hidrogen terhadap karbon yang lebih tinggi dari batubara atau solar, sehingga menghasilkan lebih banyak air dan lebih sedikit CO2 per satuan energi. Pembakarannya pun lebih sempurna.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Bahan bakar</w:t>
            </w:r>
          </w:p>
        </w:tc>
        <w:tc>
          <w:tcPr/>
          <w:p>
            <w:pPr>
              <w:pStyle w:val="Compact"/>
            </w:pPr>
            <w:r>
              <w:t xml:space="preserve">kg CO2 / MMBTU</w:t>
            </w:r>
          </w:p>
        </w:tc>
        <w:tc>
          <w:tcPr/>
          <w:p>
            <w:pPr>
              <w:pStyle w:val="Compact"/>
            </w:pPr>
            <w:r>
              <w:t xml:space="preserve">Selisih vs gas bumi</w:t>
            </w:r>
          </w:p>
        </w:tc>
      </w:tr>
      <w:tr>
        <w:tc>
          <w:tcPr/>
          <w:p>
            <w:pPr>
              <w:pStyle w:val="Compact"/>
            </w:pPr>
            <w:r>
              <w:t xml:space="preserve">Gas bumi (</w:t>
            </w:r>
            <w:r>
              <w:rPr>
                <w:i/>
                <w:iCs/>
              </w:rPr>
              <w:t xml:space="preserve">natural gas</w:t>
            </w:r>
            <w:r>
              <w:t xml:space="preserve">)</w:t>
            </w:r>
          </w:p>
        </w:tc>
        <w:tc>
          <w:tcPr/>
          <w:p>
            <w:pPr>
              <w:pStyle w:val="Compact"/>
            </w:pPr>
            <w:r>
              <w:t xml:space="preserve">52,91</w:t>
            </w:r>
          </w:p>
        </w:tc>
        <w:tc>
          <w:tcPr/>
          <w:p>
            <w:pPr>
              <w:pStyle w:val="Compact"/>
            </w:pPr>
            <w:r>
              <w:t xml:space="preserve">Basis</w:t>
            </w:r>
          </w:p>
        </w:tc>
      </w:tr>
      <w:tr>
        <w:tc>
          <w:tcPr/>
          <w:p>
            <w:pPr>
              <w:pStyle w:val="Compact"/>
            </w:pPr>
            <w:r>
              <w:t xml:space="preserve">LPG / propana</w:t>
            </w:r>
          </w:p>
        </w:tc>
        <w:tc>
          <w:tcPr/>
          <w:p>
            <w:pPr>
              <w:pStyle w:val="Compact"/>
            </w:pPr>
            <w:r>
              <w:t xml:space="preserve">62,88</w:t>
            </w:r>
          </w:p>
        </w:tc>
        <w:tc>
          <w:tcPr/>
          <w:p>
            <w:pPr>
              <w:pStyle w:val="Compact"/>
            </w:pPr>
            <w:r>
              <w:t xml:space="preserve">~+19%</w:t>
            </w:r>
          </w:p>
        </w:tc>
      </w:tr>
      <w:tr>
        <w:tc>
          <w:tcPr/>
          <w:p>
            <w:pPr>
              <w:pStyle w:val="Compact"/>
            </w:pPr>
            <w:r>
              <w:t xml:space="preserve">Solar (</w:t>
            </w:r>
            <w:r>
              <w:rPr>
                <w:i/>
                <w:iCs/>
              </w:rPr>
              <w:t xml:space="preserve">distillate fuel oil</w:t>
            </w:r>
            <w:r>
              <w:t xml:space="preserve">)</w:t>
            </w:r>
          </w:p>
        </w:tc>
        <w:tc>
          <w:tcPr/>
          <w:p>
            <w:pPr>
              <w:pStyle w:val="Compact"/>
            </w:pPr>
            <w:r>
              <w:t xml:space="preserve">74,14</w:t>
            </w:r>
          </w:p>
        </w:tc>
        <w:tc>
          <w:tcPr/>
          <w:p>
            <w:pPr>
              <w:pStyle w:val="Compact"/>
            </w:pPr>
            <w:r>
              <w:t xml:space="preserve">~+40%</w:t>
            </w:r>
          </w:p>
        </w:tc>
      </w:tr>
      <w:tr>
        <w:tc>
          <w:tcPr/>
          <w:p>
            <w:pPr>
              <w:pStyle w:val="Compact"/>
            </w:pPr>
            <w:r>
              <w:t xml:space="preserve">Batubara (rata-rata semua jenis)</w:t>
            </w:r>
          </w:p>
        </w:tc>
        <w:tc>
          <w:tcPr/>
          <w:p>
            <w:pPr>
              <w:pStyle w:val="Compact"/>
            </w:pPr>
            <w:r>
              <w:t xml:space="preserve">95,99</w:t>
            </w:r>
          </w:p>
        </w:tc>
        <w:tc>
          <w:tcPr/>
          <w:p>
            <w:pPr>
              <w:pStyle w:val="Compact"/>
            </w:pPr>
            <w:r>
              <w:t xml:space="preserve">~+81%</w:t>
            </w:r>
          </w:p>
        </w:tc>
      </w:tr>
    </w:tbl>
    <w:p>
      <w:pPr>
        <w:pStyle w:val="BodyText"/>
      </w:pPr>
      <w:r>
        <w:rPr>
          <w:i/>
          <w:iCs/>
        </w:rPr>
        <w:t xml:space="preserve">Sumber: EIA (data 2022). Angka ini murni emisi pembakaran, belum memasukkan metana hulu, jadi jangan disajikan sebagai gambaran lifecycle lengkap.</w:t>
      </w:r>
    </w:p>
    <w:p>
      <w:pPr>
        <w:pStyle w:val="BodyText"/>
      </w:pPr>
      <w:r>
        <w:rPr>
          <w:i/>
          <w:iCs/>
        </w:rPr>
        <w:t xml:space="preserve">[Image 02: Bar chart faktor emisi pembakaran EIA, berisi empat batang vertikal untuk gas bumi (52,91), LPG (62,88), solar (74,14), dan batubara (95,99) kg CO2/MMBTU; batang gas bumi berwarna hijau, batubara merah; angka besar tercetak jelas di atas tiap batang agar screenshot-friendly; teks Bahasa Indonesia. Alt-text:</w:t>
      </w:r>
      <w:r>
        <w:rPr>
          <w:i/>
          <w:iCs/>
        </w:rPr>
        <w:t xml:space="preserve"> </w:t>
      </w:r>
      <w:r>
        <w:rPr>
          <w:i/>
          <w:iCs/>
        </w:rPr>
        <w:t xml:space="preserve">“Perbandingan emisi CO2 pembakaran gas bumi vs LPG, solar, dan batubara per MMBTU”</w:t>
      </w:r>
      <w:r>
        <w:rPr>
          <w:i/>
          <w:iCs/>
        </w:rPr>
        <w:t xml:space="preserve">.]</w:t>
      </w:r>
    </w:p>
    <w:bookmarkEnd w:id="21"/>
    <w:bookmarkStart w:id="22" w:name="Xc075202ca94621d79965bfa510c566b2b295af4"/>
    <w:p>
      <w:pPr>
        <w:pStyle w:val="Heading2"/>
      </w:pPr>
      <w:r>
        <w:t xml:space="preserve">Kalau Metana Hulu Ikut Dihitung, Apakah Gas Masih Lebih Bersih?</w:t>
      </w:r>
    </w:p>
    <w:p>
      <w:pPr>
        <w:pStyle w:val="FirstParagraph"/>
      </w:pPr>
      <w:r>
        <w:t xml:space="preserve">Di mayoritas kasus, ya, tapi keunggulannya menyempit. Metana adalah komponen utama gas bumi dan gas rumah kaca yang jauh lebih kuat dari CO2. Menurut IPCC AR6 (2021), metana fosil punya</w:t>
      </w:r>
      <w:r>
        <w:t xml:space="preserve"> </w:t>
      </w:r>
      <w:r>
        <w:rPr>
          <w:i/>
          <w:iCs/>
        </w:rPr>
        <w:t xml:space="preserve">Global Warming Potential</w:t>
      </w:r>
      <w:r>
        <w:t xml:space="preserve"> </w:t>
      </w:r>
      <w:r>
        <w:t xml:space="preserve">sekitar 27–30 kali lipat CO2 pada rentang 100 tahun (GWP100) dan sekitar 80–83 kali pada 20 tahun (GWP20). Kebocoran kecil pun berbobot besar.</w:t>
      </w:r>
    </w:p>
    <w:p>
      <w:pPr>
        <w:pStyle w:val="BodyText"/>
      </w:pPr>
      <w:r>
        <w:t xml:space="preserve">Metrik waktu menentukan cerita. GWP membandingkan efek pemanasan suatu gas terhadap CO2 pada rentang tertentu. Metana kuat memerangkap panas tapi cepat terurai (umur atmosfer sekitar 12 tahun), sehingga GWP20 membuat dampak kebocoran tampak jauh lebih besar dibanding GWP100. Keduanya sah: GWP100 relevan untuk target jangka panjang, GWP20 untuk urgensi dekade ini.</w:t>
      </w:r>
    </w:p>
    <w:p>
      <w:pPr>
        <w:pStyle w:val="BodyText"/>
      </w:pPr>
      <w:r>
        <w:t xml:space="preserve">Lalu berapa tingkat kebocoran yang membuat gas kehilangan keunggulannya? Jawabannya diperdebatkan, dan angka yang beredar sering keliru menggabungkan dua studi yang tidak setara:</w:t>
      </w:r>
    </w:p>
    <w:p>
      <w:pPr>
        <w:pStyle w:val="Compact"/>
        <w:numPr>
          <w:ilvl w:val="0"/>
          <w:numId w:val="1001"/>
        </w:numPr>
      </w:pPr>
      <w:r>
        <w:rPr>
          <w:b/>
          <w:bCs/>
        </w:rPr>
        <w:t xml:space="preserve">Alvarez dkk. (2018, jurnal</w:t>
      </w:r>
      <w:r>
        <w:rPr>
          <w:b/>
          <w:bCs/>
        </w:rPr>
        <w:t xml:space="preserve"> </w:t>
      </w:r>
      <w:r>
        <w:rPr>
          <w:b/>
          <w:bCs/>
          <w:i/>
          <w:iCs/>
        </w:rPr>
        <w:t xml:space="preserve">Science</w:t>
      </w:r>
      <w:r>
        <w:rPr>
          <w:b/>
          <w:bCs/>
        </w:rPr>
        <w:t xml:space="preserve">)</w:t>
      </w:r>
      <w:r>
        <w:t xml:space="preserve">: untuk pembangkit listrik di Amerika Serikat, gas mempertahankan keunggulan iklim atas batubara selama kebocoran hulu-ke-pembangkit tetap di bawah sekitar 2,7% (basis GWP100). Kebocoran riil rantai pasok AS saat itu diestimasi sekitar 2,3% dari produksi.</w:t>
      </w:r>
    </w:p>
    <w:p>
      <w:pPr>
        <w:pStyle w:val="Compact"/>
        <w:numPr>
          <w:ilvl w:val="0"/>
          <w:numId w:val="1001"/>
        </w:numPr>
      </w:pPr>
      <w:r>
        <w:rPr>
          <w:b/>
          <w:bCs/>
        </w:rPr>
        <w:t xml:space="preserve">Gordon dkk. (2023,</w:t>
      </w:r>
      <w:r>
        <w:rPr>
          <w:b/>
          <w:bCs/>
        </w:rPr>
        <w:t xml:space="preserve"> </w:t>
      </w:r>
      <w:r>
        <w:rPr>
          <w:b/>
          <w:bCs/>
          <w:i/>
          <w:iCs/>
        </w:rPr>
        <w:t xml:space="preserve">Environmental Research Letters</w:t>
      </w:r>
      <w:r>
        <w:rPr>
          <w:b/>
          <w:bCs/>
        </w:rPr>
        <w:t xml:space="preserve">)</w:t>
      </w:r>
      <w:r>
        <w:t xml:space="preserve">: cakupan global, gas baru mencapai paritas dengan batubara rata-rata bila kebocoran melewati sekitar 7,6% (GWP100) atau 4,7% (GWP20). Survei lapangan menemukan kebocoran riil bervariasi luas, dari 0,65% hingga di atas 60% antar-lokasi produksi.</w:t>
      </w:r>
    </w:p>
    <w:p>
      <w:pPr>
        <w:pStyle w:val="FirstParagraph"/>
      </w:pPr>
      <w:r>
        <w:t xml:space="preserve">Angka</w:t>
      </w:r>
      <w:r>
        <w:t xml:space="preserve"> </w:t>
      </w:r>
      <w:r>
        <w:t xml:space="preserve">“~2–3%”</w:t>
      </w:r>
      <w:r>
        <w:t xml:space="preserve"> </w:t>
      </w:r>
      <w:r>
        <w:t xml:space="preserve">yang sering dikutip di internet sebenarnya mencampur tingkat kebocoran riil (2,3%) dengan ambang keunggulan (2,7%) dari studi 2018, dan itu bukan ambang universal. Dua studi di atas memakai cakupan, tahun, dan metrik berbeda, jadi jangan digabung menjadi satu angka tunggal.</w:t>
      </w:r>
    </w:p>
    <w:p>
      <w:pPr>
        <w:pStyle w:val="BodyText"/>
      </w:pPr>
      <w:r>
        <w:rPr>
          <w:i/>
          <w:iCs/>
        </w:rPr>
        <w:t xml:space="preserve">[Image 03: Grafik ambang kebocoran metana, dengan sumbu X persentase kebocoran (0–10%), sumbu Y jejak karbon lifecycle relatif; garis gas bumi naik seiring kebocoran bertambah, garis batubara datar sebagai pembanding; dua titik potong dianotasi jelas</w:t>
      </w:r>
      <w:r>
        <w:rPr>
          <w:i/>
          <w:iCs/>
        </w:rPr>
        <w:t xml:space="preserve"> </w:t>
      </w:r>
      <w:r>
        <w:rPr>
          <w:i/>
          <w:iCs/>
        </w:rPr>
        <w:t xml:space="preserve">“~4,7% (GWP20)”</w:t>
      </w:r>
      <w:r>
        <w:rPr>
          <w:i/>
          <w:iCs/>
        </w:rPr>
        <w:t xml:space="preserve"> </w:t>
      </w:r>
      <w:r>
        <w:rPr>
          <w:i/>
          <w:iCs/>
        </w:rPr>
        <w:t xml:space="preserve">dan</w:t>
      </w:r>
      <w:r>
        <w:rPr>
          <w:i/>
          <w:iCs/>
        </w:rPr>
        <w:t xml:space="preserve"> </w:t>
      </w:r>
      <w:r>
        <w:rPr>
          <w:i/>
          <w:iCs/>
        </w:rPr>
        <w:t xml:space="preserve">“~7,6% (GWP100)”</w:t>
      </w:r>
      <w:r>
        <w:rPr>
          <w:i/>
          <w:iCs/>
        </w:rPr>
        <w:t xml:space="preserve">; sumber kecil</w:t>
      </w:r>
      <w:r>
        <w:rPr>
          <w:i/>
          <w:iCs/>
        </w:rPr>
        <w:t xml:space="preserve"> </w:t>
      </w:r>
      <w:r>
        <w:rPr>
          <w:i/>
          <w:iCs/>
        </w:rPr>
        <w:t xml:space="preserve">“Gordon dkk. 2023”</w:t>
      </w:r>
      <w:r>
        <w:rPr>
          <w:i/>
          <w:iCs/>
        </w:rPr>
        <w:t xml:space="preserve"> </w:t>
      </w:r>
      <w:r>
        <w:rPr>
          <w:i/>
          <w:iCs/>
        </w:rPr>
        <w:t xml:space="preserve">di bawah grafik; teks Bahasa Indonesia. Alt-text:</w:t>
      </w:r>
      <w:r>
        <w:rPr>
          <w:i/>
          <w:iCs/>
        </w:rPr>
        <w:t xml:space="preserve"> </w:t>
      </w:r>
      <w:r>
        <w:rPr>
          <w:i/>
          <w:iCs/>
        </w:rPr>
        <w:t xml:space="preserve">“Grafik ambang kebocoran metana saat jejak karbon lifecycle gas bumi menyamai batubara”</w:t>
      </w:r>
      <w:r>
        <w:rPr>
          <w:i/>
          <w:iCs/>
        </w:rPr>
        <w:t xml:space="preserve">.]</w:t>
      </w:r>
    </w:p>
    <w:bookmarkEnd w:id="22"/>
    <w:bookmarkStart w:id="24" w:name="X25020295728e818a881b2d5dd481692729fe96e"/>
    <w:p>
      <w:pPr>
        <w:pStyle w:val="Heading2"/>
      </w:pPr>
      <w:r>
        <w:t xml:space="preserve">Gas Bumi vs Batubara: Apa Kata Data Global</w:t>
      </w:r>
    </w:p>
    <w:p>
      <w:pPr>
        <w:pStyle w:val="FirstParagraph"/>
      </w:pPr>
      <w:r>
        <w:t xml:space="preserve">Secara rata-rata global, gas bumi tetap lebih rendah jejak</w:t>
      </w:r>
      <w:r>
        <w:t xml:space="preserve"> </w:t>
      </w:r>
      <w:r>
        <w:rPr>
          <w:i/>
          <w:iCs/>
        </w:rPr>
        <w:t xml:space="preserve">lifecycle</w:t>
      </w:r>
      <w:r>
        <w:t xml:space="preserve">-nya. IEA memperkirakan gas sekitar 35% lebih rendah dari batubara, dan lebih dari 95% pasokan gas 2024 lebih bersih dari batubara secara</w:t>
      </w:r>
      <w:r>
        <w:t xml:space="preserve"> </w:t>
      </w:r>
      <w:r>
        <w:rPr>
          <w:i/>
          <w:iCs/>
        </w:rPr>
        <w:t xml:space="preserve">lifecycle</w:t>
      </w:r>
      <w:r>
        <w:t xml:space="preserve">, meski sudah memperhitungkan metana. Ini rata-rata global, bukan jaminan untuk setiap rantai pasok.</w:t>
      </w:r>
    </w:p>
    <w:p>
      <w:pPr>
        <w:pStyle w:val="BodyText"/>
      </w:pPr>
      <w:r>
        <w:t xml:space="preserve">Konteks sumber metananya juga penting agar tidak salah menyudutkan gas. Ini soal pangsa metana, bukan lagi perbandingan lifecycle di atas: menurut</w:t>
      </w:r>
      <w:r>
        <w:t xml:space="preserve"> </w:t>
      </w:r>
      <w:hyperlink r:id="rId23">
        <w:r>
          <w:rPr>
            <w:rStyle w:val="Hyperlink"/>
          </w:rPr>
          <w:t xml:space="preserve">IEA Global Methane Tracker</w:t>
        </w:r>
      </w:hyperlink>
      <w:r>
        <w:t xml:space="preserve"> </w:t>
      </w:r>
      <w:r>
        <w:t xml:space="preserve">edisi 2026, sektor bahan bakar fosil (batubara, minyak, dan gas) menyumbang sekitar 35% emisi metana antropogenik global. Indonesia berada di peringkat kedua di Asia Selatan-Tenggara, dengan lebih dari 3 juta ton emisi metana energi pada 2025. Namun di kawasan ini lebih dari 60% berasal dari tambang batubara, bukan migas. Artinya, dalam konteks Indonesia, sumber metana energi terbesar adalah batubara, dan fakta itu justru memperkuat logika beralih dari batubara serta solar ke gas.</w:t>
      </w:r>
    </w:p>
    <w:bookmarkEnd w:id="24"/>
    <w:bookmarkStart w:id="26" w:name="X93a9da1d00d9b8f530cb89965624cef2f5e8e1a"/>
    <w:p>
      <w:pPr>
        <w:pStyle w:val="Heading2"/>
      </w:pPr>
      <w:r>
        <w:t xml:space="preserve">Gas Bumi Bukan Energi</w:t>
      </w:r>
      <w:r>
        <w:t xml:space="preserve"> </w:t>
      </w:r>
      <w:r>
        <w:t xml:space="preserve">“Nol Emisi”</w:t>
      </w:r>
      <w:r>
        <w:t xml:space="preserve">, dan Itu Bukan Alasan Menundanya</w:t>
      </w:r>
    </w:p>
    <w:p>
      <w:pPr>
        <w:pStyle w:val="FirstParagraph"/>
      </w:pPr>
      <w:r>
        <w:t xml:space="preserve">Gas bumi bukan energi nol emisi, dan bersikap jujur soal itu justru menguatkan keputusan beralih. Bagi perusahaan yang hari ini membakar solar atau batubara, pindah ke gas tetap langkah maju yang menurunkan emisi lebih cepat sambil energi terbarukan skala penuh dikembangkan, asalkan kebocoran hulu ditekan dan sumber pasok dipilih dengan sadar.</w:t>
      </w:r>
    </w:p>
    <w:p>
      <w:pPr>
        <w:pStyle w:val="BodyText"/>
      </w:pPr>
      <w:r>
        <w:t xml:space="preserve">Yang menentukan jejak karbon sebenarnya bukan label</w:t>
      </w:r>
      <w:r>
        <w:t xml:space="preserve"> </w:t>
      </w:r>
      <w:r>
        <w:t xml:space="preserve">“gas bumi”</w:t>
      </w:r>
      <w:r>
        <w:t xml:space="preserve">, melainkan bagaimana gas itu diproduksi, diangkut, dan dibakar. Empat variabel yang paling menentukan:</w:t>
      </w:r>
    </w:p>
    <w:p>
      <w:pPr>
        <w:pStyle w:val="Compact"/>
        <w:numPr>
          <w:ilvl w:val="0"/>
          <w:numId w:val="1002"/>
        </w:numPr>
      </w:pPr>
      <w:r>
        <w:rPr>
          <w:b/>
          <w:bCs/>
        </w:rPr>
        <w:t xml:space="preserve">Tingkat kebocoran metana hulu</w:t>
      </w:r>
      <w:r>
        <w:t xml:space="preserve">: makin rendah, makin lebar keunggulan</w:t>
      </w:r>
      <w:r>
        <w:t xml:space="preserve"> </w:t>
      </w:r>
      <w:r>
        <w:rPr>
          <w:i/>
          <w:iCs/>
        </w:rPr>
        <w:t xml:space="preserve">lifecycle</w:t>
      </w:r>
      <w:r>
        <w:t xml:space="preserve"> </w:t>
      </w:r>
      <w:r>
        <w:t xml:space="preserve">gas.</w:t>
      </w:r>
    </w:p>
    <w:p>
      <w:pPr>
        <w:pStyle w:val="Compact"/>
        <w:numPr>
          <w:ilvl w:val="0"/>
          <w:numId w:val="1002"/>
        </w:numPr>
      </w:pPr>
      <w:r>
        <w:rPr>
          <w:b/>
          <w:bCs/>
        </w:rPr>
        <w:t xml:space="preserve">Jarak dan moda pasok</w:t>
      </w:r>
      <w:r>
        <w:t xml:space="preserve">: rantai yang panjang menambah emisi transportasi.</w:t>
      </w:r>
    </w:p>
    <w:p>
      <w:pPr>
        <w:pStyle w:val="Compact"/>
        <w:numPr>
          <w:ilvl w:val="0"/>
          <w:numId w:val="1002"/>
        </w:numPr>
      </w:pPr>
      <w:r>
        <w:rPr>
          <w:b/>
          <w:bCs/>
        </w:rPr>
        <w:t xml:space="preserve">Deteksi dan penutupan kebocoran</w:t>
      </w:r>
      <w:r>
        <w:t xml:space="preserve">: pemantauan rutin memangkas emisi fugitif yang tak terlihat.</w:t>
      </w:r>
    </w:p>
    <w:p>
      <w:pPr>
        <w:pStyle w:val="Compact"/>
        <w:numPr>
          <w:ilvl w:val="0"/>
          <w:numId w:val="1002"/>
        </w:numPr>
      </w:pPr>
      <w:r>
        <w:rPr>
          <w:b/>
          <w:bCs/>
        </w:rPr>
        <w:t xml:space="preserve">CCUS (</w:t>
      </w:r>
      <w:r>
        <w:rPr>
          <w:b/>
          <w:bCs/>
          <w:i/>
          <w:iCs/>
        </w:rPr>
        <w:t xml:space="preserve">Carbon Capture, Utilization, and Storage</w:t>
      </w:r>
      <w:r>
        <w:rPr>
          <w:b/>
          <w:bCs/>
        </w:rPr>
        <w:t xml:space="preserve">)</w:t>
      </w:r>
      <w:r>
        <w:t xml:space="preserve">: menangkap CO2 residual untuk disimpan permanen di formasi geologi; arah masa depan, belum matang skala besar di Indonesia.</w:t>
      </w:r>
    </w:p>
    <w:p>
      <w:pPr>
        <w:pStyle w:val="FirstParagraph"/>
      </w:pPr>
      <w:r>
        <w:t xml:space="preserve">Bagi pembeli, ini menyederhanakan satu pertanyaan yang layak diajukan ke calon penyedia: dari rantai pasok mana gas Anda datang, dan bagaimana kebocoran dikelola? Memilih pasokan dari rantai gas bumi nasional yang terkelola, baik CNG untuk industri maupun</w:t>
      </w:r>
      <w:r>
        <w:t xml:space="preserve"> </w:t>
      </w:r>
      <w:hyperlink r:id="rId25">
        <w:r>
          <w:rPr>
            <w:rStyle w:val="Hyperlink"/>
          </w:rPr>
          <w:t xml:space="preserve">BBG untuk transportasi</w:t>
        </w:r>
      </w:hyperlink>
      <w:r>
        <w:t xml:space="preserve"> </w:t>
      </w:r>
      <w:r>
        <w:t xml:space="preserve">bagi armada yang meninggalkan solar, membantu mengendalikan variabel yang berada di luar pabrik Anda. Itu tidak menjadikan gas</w:t>
      </w:r>
      <w:r>
        <w:t xml:space="preserve"> </w:t>
      </w:r>
      <w:r>
        <w:t xml:space="preserve">“nol emisi”</w:t>
      </w:r>
      <w:r>
        <w:t xml:space="preserve">, tapi mengendalikan salah satu variabelnya.</w:t>
      </w:r>
    </w:p>
    <w:bookmarkEnd w:id="26"/>
    <w:bookmarkStart w:id="33" w:name="faq-pertanyaan-yang-sering-diajukan"/>
    <w:p>
      <w:pPr>
        <w:pStyle w:val="Heading2"/>
      </w:pPr>
      <w:r>
        <w:t xml:space="preserve">FAQ (Pertanyaan yang Sering Diajukan)</w:t>
      </w:r>
    </w:p>
    <w:bookmarkStart w:id="27" w:name="X766e4327529ee3ae7246701bd1ad3851e2bfc45"/>
    <w:p>
      <w:pPr>
        <w:pStyle w:val="Heading3"/>
      </w:pPr>
      <w:r>
        <w:t xml:space="preserve">Apa itu analisis well-to-burner (life cycle assessment gas bumi)?</w:t>
      </w:r>
    </w:p>
    <w:p>
      <w:pPr>
        <w:pStyle w:val="FirstParagraph"/>
      </w:pPr>
      <w:r>
        <w:rPr>
          <w:i/>
          <w:iCs/>
        </w:rPr>
        <w:t xml:space="preserve">Well-to-burner</w:t>
      </w:r>
      <w:r>
        <w:t xml:space="preserve"> </w:t>
      </w:r>
      <w:r>
        <w:t xml:space="preserve">adalah metode</w:t>
      </w:r>
      <w:r>
        <w:t xml:space="preserve"> </w:t>
      </w:r>
      <w:r>
        <w:rPr>
          <w:i/>
          <w:iCs/>
        </w:rPr>
        <w:t xml:space="preserve">life cycle assessment</w:t>
      </w:r>
      <w:r>
        <w:t xml:space="preserve"> </w:t>
      </w:r>
      <w:r>
        <w:t xml:space="preserve">(LCA) yang menghitung emisi gas rumah kaca sepanjang rantai gas bumi, dari sumur, pengolahan, transportasi, hingga pembakaran, bukan hanya saat dibakar. Ini penting karena metana yang bocor di hulu tidak tertangkap bila hanya emisi pembakaran yang dihitung.</w:t>
      </w:r>
    </w:p>
    <w:bookmarkEnd w:id="27"/>
    <w:bookmarkStart w:id="28" w:name="apakah-gas-bumi-benar-benar-bersih"/>
    <w:p>
      <w:pPr>
        <w:pStyle w:val="Heading3"/>
      </w:pPr>
      <w:r>
        <w:t xml:space="preserve">Apakah gas bumi benar-benar bersih?</w:t>
      </w:r>
    </w:p>
    <w:p>
      <w:pPr>
        <w:pStyle w:val="FirstParagraph"/>
      </w:pPr>
      <w:r>
        <w:t xml:space="preserve">Tidak sepenuhnya; gas bumi bukan energi nol emisi. Dari sisi pembakaran ia paling rendah CO2 (EIA: 52,91 kg CO2/MMBTU vs 95,99 untuk batubara). Tapi bila kebocoran metana hulu dihitung secara</w:t>
      </w:r>
      <w:r>
        <w:t xml:space="preserve"> </w:t>
      </w:r>
      <w:r>
        <w:rPr>
          <w:i/>
          <w:iCs/>
        </w:rPr>
        <w:t xml:space="preserve">lifecycle</w:t>
      </w:r>
      <w:r>
        <w:t xml:space="preserve">, keunggulannya bisa menyusut, tergantung tingkat kebocoran dan metrik GWP yang dipakai.</w:t>
      </w:r>
    </w:p>
    <w:bookmarkEnd w:id="28"/>
    <w:bookmarkStart w:id="29" w:name="Xf3dc35fb2e23508825dbd3fc50a610bd78f22fe"/>
    <w:p>
      <w:pPr>
        <w:pStyle w:val="Heading3"/>
      </w:pPr>
      <w:r>
        <w:t xml:space="preserve">Berapa emisi CO2 gas bumi dibanding batubara, LPG, dan solar?</w:t>
      </w:r>
    </w:p>
    <w:p>
      <w:pPr>
        <w:pStyle w:val="FirstParagraph"/>
      </w:pPr>
      <w:r>
        <w:t xml:space="preserve">Menurut faktor emisi pembakaran EIA (data 2022): gas bumi 52,91 kg CO2/MMBTU, LPG 62,88, solar 74,14, dan batubara 95,99. Per unit energi sama, gas bumi menghasilkan CO2 sekitar 45% lebih rendah dari batubara. Ini murni sisi pembakaran, belum termasuk metana hulu.</w:t>
      </w:r>
    </w:p>
    <w:bookmarkEnd w:id="29"/>
    <w:bookmarkStart w:id="30" w:name="apa-beda-gwp20-dan-gwp100-metana"/>
    <w:p>
      <w:pPr>
        <w:pStyle w:val="Heading3"/>
      </w:pPr>
      <w:r>
        <w:t xml:space="preserve">Apa beda GWP20 dan GWP100 metana?</w:t>
      </w:r>
    </w:p>
    <w:p>
      <w:pPr>
        <w:pStyle w:val="FirstParagraph"/>
      </w:pPr>
      <w:r>
        <w:t xml:space="preserve">GWP mengukur efek pemanasan suatu gas dibanding CO2 pada rentang waktu tertentu. Menurut IPCC AR6, metana fosil sekitar 27–30 kali CO2 pada 100 tahun (GWP100) dan sekitar 80–83 kali pada 20 tahun (GWP20), karena kuat memerangkap panas namun cepat terurai. GWP20 membuat dampak kebocoran tampak jauh lebih besar.</w:t>
      </w:r>
    </w:p>
    <w:bookmarkEnd w:id="30"/>
    <w:bookmarkStart w:id="31" w:name="X066e9e4e037c986aeadc05300bc0724fca22602"/>
    <w:p>
      <w:pPr>
        <w:pStyle w:val="Heading3"/>
      </w:pPr>
      <w:r>
        <w:t xml:space="preserve">Berapa ambang kebocoran metana yang membuat gas tak lagi lebih bersih?</w:t>
      </w:r>
    </w:p>
    <w:p>
      <w:pPr>
        <w:pStyle w:val="FirstParagraph"/>
      </w:pPr>
      <w:r>
        <w:t xml:space="preserve">Diperdebatkan dan bergantung metrik. Alvarez dkk. (2018,</w:t>
      </w:r>
      <w:r>
        <w:t xml:space="preserve"> </w:t>
      </w:r>
      <w:r>
        <w:rPr>
          <w:i/>
          <w:iCs/>
        </w:rPr>
        <w:t xml:space="preserve">Science</w:t>
      </w:r>
      <w:r>
        <w:t xml:space="preserve">) menyebut sekitar 2,7% untuk pembangkit listrik AS (GWP100). Gordon dkk. (2023) yang global menghitung sekitar 7,6% (GWP100) atau 4,7% (GWP20). Angka</w:t>
      </w:r>
      <w:r>
        <w:t xml:space="preserve"> </w:t>
      </w:r>
      <w:r>
        <w:t xml:space="preserve">“~2–3%”</w:t>
      </w:r>
      <w:r>
        <w:t xml:space="preserve"> </w:t>
      </w:r>
      <w:r>
        <w:t xml:space="preserve">yang beredar mencampur dua studi berbeda dan bukan ambang universal.</w:t>
      </w:r>
    </w:p>
    <w:bookmarkEnd w:id="31"/>
    <w:bookmarkStart w:id="32" w:name="X0e4766a6a78da608940550c0db4f9c3bc4d123f"/>
    <w:p>
      <w:pPr>
        <w:pStyle w:val="Heading3"/>
      </w:pPr>
      <w:r>
        <w:t xml:space="preserve">Apa itu CCUS dan apa perannya untuk gas bumi?</w:t>
      </w:r>
    </w:p>
    <w:p>
      <w:pPr>
        <w:pStyle w:val="FirstParagraph"/>
      </w:pPr>
      <w:r>
        <w:t xml:space="preserve">CCUS (</w:t>
      </w:r>
      <w:r>
        <w:rPr>
          <w:i/>
          <w:iCs/>
        </w:rPr>
        <w:t xml:space="preserve">Carbon Capture, Utilization, and Storage</w:t>
      </w:r>
      <w:r>
        <w:t xml:space="preserve">) menangkap CO2 dari sumber emisi besar lalu menyimpannya permanen ke formasi geologi, menurut definisi IEA. Untuk gas bumi, CCUS melengkapi upaya deteksi dan penutupan kebocoran metana hulu. Ini arah mitigasi masa depan, belum matang skala besar di Indonesia.</w:t>
      </w:r>
    </w:p>
    <w:bookmarkEnd w:id="32"/>
    <w:bookmarkEnd w:id="33"/>
    <w:bookmarkStart w:id="34" w:name="kesimpulan"/>
    <w:p>
      <w:pPr>
        <w:pStyle w:val="Heading2"/>
      </w:pPr>
      <w:r>
        <w:t xml:space="preserve">Kesimpulan</w:t>
      </w:r>
    </w:p>
    <w:p>
      <w:pPr>
        <w:pStyle w:val="FirstParagraph"/>
      </w:pPr>
      <w:r>
        <w:t xml:space="preserve">Kembali ke pertanyaan pembuka: seberapa bersih gas bumi? Untuk emisi pembakaran, jelas paling bersih di antara bahan bakar fosil, sekitar 45% lebih rendah CO2 dari batubara. Untuk seluruh rantai</w:t>
      </w:r>
      <w:r>
        <w:t xml:space="preserve"> </w:t>
      </w:r>
      <w:r>
        <w:rPr>
          <w:i/>
          <w:iCs/>
        </w:rPr>
        <w:t xml:space="preserve">well-to-burner</w:t>
      </w:r>
      <w:r>
        <w:t xml:space="preserve">, tetap lebih rendah di mayoritas kasus, tapi keunggulannya bergantung pada seberapa ketat kebocoran metana dikelola. Itu bukan alasan menunda, melainkan alasan memilih pasokan dengan mata terbuka. Sebagai anak usaha PGN yang merupakan bagian dari Subholding Gas Pertamina, PGN Gagas menyalurkan gas bumi ke pelanggan industri dan komersial lewat solusi CNG seperti Gaslink, termasuk ke lokasi di luar jangkauan pipa. Bukan solusi sempurna, tapi langkah maju yang jujur dari solar dan batubara.</w:t>
      </w:r>
    </w:p>
    <w:p>
      <w:pPr>
        <w:pStyle w:val="BodyText"/>
      </w:pPr>
      <w:r>
        <w:t xml:space="preserve">Untuk menilai kesiapan beralih ke gas bumi yang lebih rendah emisi di fasilitas Anda dan mendiskusikan pilihan pasokannya,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gagas.co.id/gasku/" TargetMode="External" /><Relationship Type="http://schemas.openxmlformats.org/officeDocument/2006/relationships/hyperlink" Id="rId17"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0" Target="https://www.eia.gov/environment/emissions/co2_vol_mass.php" TargetMode="External" /><Relationship Type="http://schemas.openxmlformats.org/officeDocument/2006/relationships/hyperlink" Id="rId23" Target="https://www.iea.org/reports/global-methane-tracker-2026/key-findings" TargetMode="External" /></Relationships>
</file>

<file path=word/_rels/footnotes.xml.rels><?xml version="1.0" encoding="UTF-8"?><Relationships xmlns="http://schemas.openxmlformats.org/package/2006/relationships"><Relationship Type="http://schemas.openxmlformats.org/officeDocument/2006/relationships/hyperlink" Id="rId25" Target="https://gagas.co.id/gasku/" TargetMode="External" /><Relationship Type="http://schemas.openxmlformats.org/officeDocument/2006/relationships/hyperlink" Id="rId17"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20" Target="https://www.eia.gov/environment/emissions/co2_vol_mass.php" TargetMode="External" /><Relationship Type="http://schemas.openxmlformats.org/officeDocument/2006/relationships/hyperlink" Id="rId23" Target="https://www.iea.org/reports/global-methane-tracker-2026/key-find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2026-08-11T07:59:11Z</dcterms:created>
  <dcterms:modified xsi:type="dcterms:W3CDTF">2026-08-11T07:59:11Z</dcterms:modified>
</cp:coreProperties>
</file>

<file path=docProps/custom.xml><?xml version="1.0" encoding="utf-8"?>
<Properties xmlns="http://schemas.openxmlformats.org/officeDocument/2006/custom-properties" xmlns:vt="http://schemas.openxmlformats.org/officeDocument/2006/docPropsVTypes"/>
</file>