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"Kelola Pasokan CNG Banyak Lokasi: Strategi Multi-Vendor Grup Usaha"</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Kelola Pasokan Multi-Lokasi"</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perusahaan CNG Indonesia untuk pasokan banyak lokasi: kerangka single vs multi vendor, kontrak payung, dan pemantauan telemetri terpusat."</w:t>
      </w:r>
      <w:r>
        <w:br/>
      </w:r>
      <w:r>
        <w:rPr>
          <w:rStyle w:val="FunctionTok"/>
        </w:rPr>
        <w:t xml:space="preserve">slug</w:t>
      </w:r>
      <w:r>
        <w:rPr>
          <w:rStyle w:val="KeywordTok"/>
        </w:rPr>
        <w:t xml:space="preserve">:</w:t>
      </w:r>
      <w:r>
        <w:rPr>
          <w:rStyle w:val="AttributeTok"/>
        </w:rPr>
        <w:t xml:space="preserve"> </w:t>
      </w:r>
      <w:r>
        <w:rPr>
          <w:rStyle w:val="StringTok"/>
        </w:rPr>
        <w:t xml:space="preserve">"manajemen-pasokan-cng-multi-lokasi-vendor"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"manajemen pasokan CNG multi-lokasi"</w:t>
      </w:r>
      <w:r>
        <w:rPr>
          <w:rStyle w:val="KeywordTok"/>
        </w:rPr>
        <w:t xml:space="preserve">,</w:t>
      </w:r>
      <w:r>
        <w:rPr>
          <w:rStyle w:val="AttributeTok"/>
        </w:rPr>
        <w:t xml:space="preserve"> </w:t>
      </w:r>
      <w:r>
        <w:rPr>
          <w:rStyle w:val="StringTok"/>
        </w:rPr>
        <w:t xml:space="preserve">"single vs multi vendor"</w:t>
      </w:r>
      <w:r>
        <w:rPr>
          <w:rStyle w:val="KeywordTok"/>
        </w:rPr>
        <w:t xml:space="preserve">,</w:t>
      </w:r>
      <w:r>
        <w:rPr>
          <w:rStyle w:val="AttributeTok"/>
        </w:rPr>
        <w:t xml:space="preserve"> </w:t>
      </w:r>
      <w:r>
        <w:rPr>
          <w:rStyle w:val="StringTok"/>
        </w:rPr>
        <w:t xml:space="preserve">"kontrak payung"</w:t>
      </w:r>
      <w:r>
        <w:rPr>
          <w:rStyle w:val="KeywordTok"/>
        </w:rPr>
        <w:t xml:space="preserve">,</w:t>
      </w:r>
      <w:r>
        <w:rPr>
          <w:rStyle w:val="AttributeTok"/>
        </w:rPr>
        <w:t xml:space="preserve"> </w:t>
      </w:r>
      <w:r>
        <w:rPr>
          <w:rStyle w:val="StringTok"/>
        </w:rPr>
        <w:t xml:space="preserve">"konsolidasi tagihan energi"</w:t>
      </w:r>
      <w:r>
        <w:rPr>
          <w:rStyle w:val="KeywordTok"/>
        </w:rPr>
        <w:t xml:space="preserve">,</w:t>
      </w:r>
      <w:r>
        <w:rPr>
          <w:rStyle w:val="AttributeTok"/>
        </w:rPr>
        <w:t xml:space="preserve"> </w:t>
      </w:r>
      <w:r>
        <w:rPr>
          <w:rStyle w:val="StringTok"/>
        </w:rPr>
        <w:t xml:space="preserve">"telemetri IoT"</w:t>
      </w:r>
      <w:r>
        <w:rPr>
          <w:rStyle w:val="KeywordTok"/>
        </w:rPr>
        <w:t xml:space="preserve">,</w:t>
      </w:r>
      <w:r>
        <w:rPr>
          <w:rStyle w:val="AttributeTok"/>
        </w:rPr>
        <w:t xml:space="preserve"> </w:t>
      </w:r>
      <w:r>
        <w:rPr>
          <w:rStyle w:val="StringTok"/>
        </w:rPr>
        <w:t xml:space="preserve">"standardisasi SLA antar cabang"</w:t>
      </w:r>
      <w:r>
        <w:rPr>
          <w:rStyle w:val="KeywordTok"/>
        </w:rPr>
        <w:t xml:space="preserve">,</w:t>
      </w:r>
      <w:r>
        <w:rPr>
          <w:rStyle w:val="AttributeTok"/>
        </w:rPr>
        <w:t xml:space="preserve"> </w:t>
      </w:r>
      <w:r>
        <w:rPr>
          <w:rStyle w:val="StringTok"/>
        </w:rPr>
        <w:t xml:space="preserve">"Gas Transportation Module (GTM)"</w:t>
      </w:r>
      <w:r>
        <w:rPr>
          <w:rStyle w:val="KeywordTok"/>
        </w:rPr>
        <w:t xml:space="preserve">,</w:t>
      </w:r>
      <w:r>
        <w:rPr>
          <w:rStyle w:val="AttributeTok"/>
        </w:rPr>
        <w:t xml:space="preserve"> </w:t>
      </w:r>
      <w:r>
        <w:rPr>
          <w:rStyle w:val="StringTok"/>
        </w:rPr>
        <w:t xml:space="preserve">"manajemen energi grup usaha"</w:t>
      </w:r>
      <w:r>
        <w:rPr>
          <w:rStyle w:val="KeywordTok"/>
        </w:rPr>
        <w:t xml:space="preserve">,</w:t>
      </w:r>
      <w:r>
        <w:rPr>
          <w:rStyle w:val="AttributeTok"/>
        </w:rPr>
        <w:t xml:space="preserve"> </w:t>
      </w:r>
      <w:r>
        <w:rPr>
          <w:rStyle w:val="StringTok"/>
        </w:rPr>
        <w:t xml:space="preserve">"procurement terpusat"</w:t>
      </w:r>
      <w:r>
        <w:rPr>
          <w:rStyle w:val="KeywordTok"/>
        </w:rPr>
        <w:t xml:space="preserve">,</w:t>
      </w:r>
      <w:r>
        <w:rPr>
          <w:rStyle w:val="AttributeTok"/>
        </w:rPr>
        <w:t xml:space="preserve"> </w:t>
      </w:r>
      <w:r>
        <w:rPr>
          <w:rStyle w:val="StringTok"/>
        </w:rPr>
        <w:t xml:space="preserve">"dasbor energi"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fasilitas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armada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"https://www.deloitte.com/us/en/services/consulting/articles/2025-global-chief-procurement-officer-survey.html"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"74% CPO global mengandalkan diversifikasi sumber pasokan sebagai mitigasi risiko (data global lintas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"https://jdih.lkpp.go.id/news/61/lkpp-dorong-tata-kelola-pengadaan-di-daerah-lewat-sosialisasi-perpres-462025"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&amp; arah kebijakan kontrak payung konsolidasi di pengadaan pemerintah (Perpres 46/2025)"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"https://simebtke.esdm.go.id/sinergi/program_konservasi_energi/detail/4/manajemen-energi"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manajemen energi terstruktur bagi pengguna ≥6.000 TOE/tahun (PP 33/2023) sebagai latar"</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1556</w:t>
      </w:r>
    </w:p>
    <w:p>
      <w:r>
        <w:pict>
          <v:rect style="width:0;height:1.5pt" o:hralign="center" o:hrstd="t" o:hr="t"/>
        </w:pict>
      </w:r>
    </w:p>
    <w:bookmarkEnd w:id="16"/>
    <w:bookmarkStart w:id="32" w:name="Xb6b0b482e9884899f38a5521dc70728418e7685"/>
    <w:p>
      <w:pPr>
        <w:pStyle w:val="Heading1"/>
      </w:pPr>
      <w:r>
        <w:t xml:space="preserve">Kelola Pasokan CNG Banyak Lokasi: Strategi Multi-Vendor Grup Usaha</w:t>
      </w:r>
    </w:p>
    <w:p>
      <w:pPr>
        <w:pStyle w:val="FirstParagraph"/>
      </w:pPr>
      <w:r>
        <w:t xml:space="preserve">Mengurus satu titik pasokan CNG sudah menyita perhatian tim procurement; mengelola sepuluh cabang di beberapa wilayah adalah persoalan kelas berbeda. Jaringan hotel, grup manufaktur, chain restoran, sampai penyelenggara dapur skala besar sering menghadapi pertanyaan yang jarang dibahas: satu vendor untuk semua lokasi, atau beberapa vendor per wilayah? Bagaimana menyeragamkan SLA antar cabang, menyatukan tagihan, dan melihat konsumsi semua titik dari satu layar? Artikel ini menjawabnya sebagai keputusan portofolio, bukan tips satu lokasi. Bila Anda menimbang perusahaan CNG Indonesia untuk memasok banyak cabang, kerangka memilih</w:t>
      </w:r>
      <w:r>
        <w:t xml:space="preserve"> </w:t>
      </w:r>
      <w:hyperlink r:id="rId17">
        <w:r>
          <w:rPr>
            <w:rStyle w:val="Hyperlink"/>
          </w:rPr>
          <w:t xml:space="preserve">penyedia CNG di Indonesia</w:t>
        </w:r>
      </w:hyperlink>
      <w:r>
        <w:t xml:space="preserve"> </w:t>
      </w:r>
      <w:r>
        <w:t xml:space="preserve">yang tepat dimulai dari struktur pasokannya, bukan sekadar harga per titik.</w:t>
      </w:r>
    </w:p>
    <w:p>
      <w:pPr>
        <w:pStyle w:val="BlockText"/>
      </w:pPr>
      <w:r>
        <w:rPr>
          <w:b/>
          <w:bCs/>
        </w:rPr>
        <w:t xml:space="preserve">Ringkasnya:</w:t>
      </w:r>
      <w:r>
        <w:t xml:space="preserve"> </w:t>
      </w:r>
      <w:r>
        <w:t xml:space="preserve">Manajemen pasokan CNG multi-lokasi adalah pendekatan pengadaan yang mengelola kebutuhan gas bumi terkompresi di banyak titik (cabang, pabrik, atau outlet) sebagai satu portofolio, bukan transaksi terpisah per lokasi. Cakupannya meliputi keputusan single vs multi vendor, kontrak payung, konsolidasi tagihan, standardisasi SLA, dan pemantauan konsumsi terpusat lewat telemetri.</w:t>
      </w:r>
    </w:p>
    <w:p>
      <w:pPr>
        <w:pStyle w:val="FirstParagraph"/>
      </w:pPr>
      <w:r>
        <w:rPr>
          <w:i/>
          <w:iCs/>
        </w:rPr>
        <w:t xml:space="preserve">[Image 01: Ilustrasi peta Indonesia gaya minimalis-korporat; beberapa ikon lokasi (pabrik, hotel, rumah sakit, dapur) tersebar di beberapa wilayah, masing-masing terhubung garis putus-putus ke satu ikon dasbor di tengah. Palet biru-korporat dengan aksen oranye dan hijau untuk status</w:t>
      </w:r>
      <w:r>
        <w:rPr>
          <w:i/>
          <w:iCs/>
        </w:rPr>
        <w:t xml:space="preserve"> </w:t>
      </w:r>
      <w:r>
        <w:rPr>
          <w:i/>
          <w:iCs/>
        </w:rPr>
        <w:t xml:space="preserve">“normal”</w:t>
      </w:r>
      <w:r>
        <w:rPr>
          <w:i/>
          <w:iCs/>
        </w:rPr>
        <w:t xml:space="preserve"> </w:t>
      </w:r>
      <w:r>
        <w:rPr>
          <w:i/>
          <w:iCs/>
        </w:rPr>
        <w:t xml:space="preserve">dan</w:t>
      </w:r>
      <w:r>
        <w:rPr>
          <w:i/>
          <w:iCs/>
        </w:rPr>
        <w:t xml:space="preserve"> </w:t>
      </w:r>
      <w:r>
        <w:rPr>
          <w:i/>
          <w:iCs/>
        </w:rPr>
        <w:t xml:space="preserve">“perlu perhatian”</w:t>
      </w:r>
      <w:r>
        <w:rPr>
          <w:i/>
          <w:iCs/>
        </w:rPr>
        <w:t xml:space="preserve">. Teks Bahasa Indonesia:</w:t>
      </w:r>
      <w:r>
        <w:rPr>
          <w:i/>
          <w:iCs/>
        </w:rPr>
        <w:t xml:space="preserve"> </w:t>
      </w:r>
      <w:r>
        <w:rPr>
          <w:i/>
          <w:iCs/>
        </w:rPr>
        <w:t xml:space="preserve">“Pemantauan Terpusat — Semua Lokasi, Satu Dasbor”</w:t>
      </w:r>
      <w:r>
        <w:rPr>
          <w:i/>
          <w:iCs/>
        </w:rPr>
        <w:t xml:space="preserve">. Alt-text: peta pemantauan pasokan CNG multi-lokasi dari satu dasbor terpusat.]</w:t>
      </w:r>
    </w:p>
    <w:bookmarkStart w:id="19" w:name="X9435739238e37a3b93bffafe1ca0858d37fda15"/>
    <w:p>
      <w:pPr>
        <w:pStyle w:val="Heading2"/>
      </w:pPr>
      <w:r>
        <w:t xml:space="preserve">Apa Tantangan Kelola Pasokan CNG Banyak Lokasi?</w:t>
      </w:r>
    </w:p>
    <w:p>
      <w:pPr>
        <w:pStyle w:val="FirstParagraph"/>
      </w:pPr>
      <w:r>
        <w:t xml:space="preserve">Tantangan terbesarnya adalah koordinasi, bukan hal teknis. Begitu jumlah lokasi bertambah, mengelola tiap titik sendiri-sendiri berhenti skalabel: harga dan SLA rawan tak seragam, konsumsi sulit dipantau serentak, dan tagihan menumpuk dari banyak sumber. Procurement pusat kehilangan satu gambaran menyeluruh soal berapa yang dipakai grup dan di mana risikonya.</w:t>
      </w:r>
    </w:p>
    <w:p>
      <w:pPr>
        <w:pStyle w:val="BodyText"/>
      </w:pPr>
      <w:r>
        <w:t xml:space="preserve">Selama masih dua atau tiga titik, semua bisa dikelola manual. Begitu portofolio menyentuh belasan lokasi, gejala khas mulai muncul:</w:t>
      </w:r>
    </w:p>
    <w:p>
      <w:pPr>
        <w:pStyle w:val="Compact"/>
        <w:numPr>
          <w:ilvl w:val="0"/>
          <w:numId w:val="1001"/>
        </w:numPr>
      </w:pPr>
      <w:r>
        <w:rPr>
          <w:b/>
          <w:bCs/>
        </w:rPr>
        <w:t xml:space="preserve">Harga tak seragam</w:t>
      </w:r>
      <w:r>
        <w:t xml:space="preserve"> </w:t>
      </w:r>
      <w:r>
        <w:t xml:space="preserve">antar cabang karena tiap lokasi bernegosiasi sendiri.</w:t>
      </w:r>
    </w:p>
    <w:p>
      <w:pPr>
        <w:pStyle w:val="Compact"/>
        <w:numPr>
          <w:ilvl w:val="0"/>
          <w:numId w:val="1001"/>
        </w:numPr>
      </w:pPr>
      <w:r>
        <w:rPr>
          <w:b/>
          <w:bCs/>
        </w:rPr>
        <w:t xml:space="preserve">SLA berbeda-beda</w:t>
      </w:r>
      <w:r>
        <w:t xml:space="preserve">, sehingga standar respons dan pengisian ulang sulit dibandingkan.</w:t>
      </w:r>
    </w:p>
    <w:p>
      <w:pPr>
        <w:pStyle w:val="Compact"/>
        <w:numPr>
          <w:ilvl w:val="0"/>
          <w:numId w:val="1001"/>
        </w:numPr>
      </w:pPr>
      <w:r>
        <w:rPr>
          <w:b/>
          <w:bCs/>
        </w:rPr>
        <w:t xml:space="preserve">Tagihan tersebar</w:t>
      </w:r>
      <w:r>
        <w:t xml:space="preserve"> </w:t>
      </w:r>
      <w:r>
        <w:t xml:space="preserve">dalam banyak format dan siklus, menyulitkan rekap grup.</w:t>
      </w:r>
    </w:p>
    <w:p>
      <w:pPr>
        <w:pStyle w:val="Compact"/>
        <w:numPr>
          <w:ilvl w:val="0"/>
          <w:numId w:val="1001"/>
        </w:numPr>
      </w:pPr>
      <w:r>
        <w:rPr>
          <w:b/>
          <w:bCs/>
        </w:rPr>
        <w:t xml:space="preserve">Visibilitas konsumsi rendah</w:t>
      </w:r>
      <w:r>
        <w:t xml:space="preserve">, sehingga anomali dan pemborosan luput terlihat.</w:t>
      </w:r>
    </w:p>
    <w:p>
      <w:pPr>
        <w:pStyle w:val="FirstParagraph"/>
      </w:pPr>
      <w:r>
        <w:t xml:space="preserve">Model distribusi CNG memang memungkinkan skala ini. Lewat</w:t>
      </w:r>
      <w:r>
        <w:t xml:space="preserve"> </w:t>
      </w:r>
      <w:r>
        <w:rPr>
          <w:i/>
          <w:iCs/>
        </w:rPr>
        <w:t xml:space="preserve">Gas Transportation Module</w:t>
      </w:r>
      <w:r>
        <w:t xml:space="preserve"> </w:t>
      </w:r>
      <w:r>
        <w:t xml:space="preserve">(GTM), truk pengangkut CNG yang menyalurkan gas ke instalasi pelanggan tanpa pipa permanen, satu penyedia bisa menjangkau banyak titik tersebar. Lokasi stasioner seperti pabrik, hotel, dan dapur komersial lazim dilayani lewat layanan seperti</w:t>
      </w:r>
      <w:r>
        <w:t xml:space="preserve"> </w:t>
      </w:r>
      <w:hyperlink r:id="rId18">
        <w:r>
          <w:rPr>
            <w:rStyle w:val="Hyperlink"/>
          </w:rPr>
          <w:t xml:space="preserve">Gaslink untuk fasilitas industri &amp; komersial</w:t>
        </w:r>
      </w:hyperlink>
      <w:r>
        <w:t xml:space="preserve">. Karena skala itu bisa dicapai, cara menstrukturkannya jadi penentu.</w:t>
      </w:r>
    </w:p>
    <w:bookmarkEnd w:id="19"/>
    <w:bookmarkStart w:id="20" w:name="Xda4fe2e63972dbbb6d9a7a5954cd94168988af7"/>
    <w:p>
      <w:pPr>
        <w:pStyle w:val="Heading2"/>
      </w:pPr>
      <w:r>
        <w:t xml:space="preserve">Satu Vendor atau Banyak Vendor? Kerangka Keputusan</w:t>
      </w:r>
    </w:p>
    <w:p>
      <w:pPr>
        <w:pStyle w:val="FirstParagraph"/>
      </w:pPr>
      <w:r>
        <w:t xml:space="preserve">Tidak ada jawaban tunggal; ini soal trade-off. Satu vendor memberi harga terkonsolidasi, SLA seragam, dan satu titik akuntabilitas, tapi menaruh seluruh risiko pasokan pada satu pihak. Banyak vendor memberi redundansi, daya tawar, dan jangkauan wilayah lebih luas, dengan konsekuensi kontrak dan data yang lebih rumit. Skala serta sebaran lokasi menentukan mana yang lebih masuk akal.</w:t>
      </w:r>
    </w:p>
    <w:p>
      <w:pPr>
        <w:pStyle w:val="BodyText"/>
      </w:pPr>
      <w:r>
        <w:t xml:space="preserve">Survei</w:t>
      </w:r>
      <w:r>
        <w:t xml:space="preserve"> </w:t>
      </w:r>
      <w:r>
        <w:rPr>
          <w:i/>
          <w:iCs/>
        </w:rPr>
        <w:t xml:space="preserve">Chief Procurement Officer</w:t>
      </w:r>
      <w:r>
        <w:t xml:space="preserve"> </w:t>
      </w:r>
      <w:r>
        <w:t xml:space="preserve">global Deloitte 2025 mencatat 74% pimpinan procurement mengandalkan pencarian sumber pasokan alternatif sebagai mitigasi risiko paling efektif. Angka itu lintas industri secara global, bukan khusus sektor gas Indonesia, tapi arah pikirnya relevan: bergantung pada satu pemasok adalah risiko nyata.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Single vendor</w:t>
            </w:r>
          </w:p>
        </w:tc>
        <w:tc>
          <w:tcPr/>
          <w:p>
            <w:pPr>
              <w:pStyle w:val="Compact"/>
            </w:pPr>
            <w:r>
              <w:t xml:space="preserve">Multi vendor</w:t>
            </w:r>
          </w:p>
        </w:tc>
      </w:tr>
      <w:tr>
        <w:tc>
          <w:tcPr/>
          <w:p>
            <w:pPr>
              <w:pStyle w:val="Compact"/>
            </w:pPr>
            <w:r>
              <w:t xml:space="preserve">Harga &amp; skala ekonomi</w:t>
            </w:r>
          </w:p>
        </w:tc>
        <w:tc>
          <w:tcPr/>
          <w:p>
            <w:pPr>
              <w:pStyle w:val="Compact"/>
            </w:pPr>
            <w:r>
              <w:t xml:space="preserve">Lebih kompetitif lewat agregasi volume</w:t>
            </w:r>
          </w:p>
        </w:tc>
        <w:tc>
          <w:tcPr/>
          <w:p>
            <w:pPr>
              <w:pStyle w:val="Compact"/>
            </w:pPr>
            <w:r>
              <w:t xml:space="preserve">Daya tawar per vendor kecil, tapi bisa dikompetisikan</w:t>
            </w:r>
          </w:p>
        </w:tc>
      </w:tr>
      <w:tr>
        <w:tc>
          <w:tcPr/>
          <w:p>
            <w:pPr>
              <w:pStyle w:val="Compact"/>
            </w:pPr>
            <w:r>
              <w:t xml:space="preserve">Akuntabilitas &amp; SLA</w:t>
            </w:r>
          </w:p>
        </w:tc>
        <w:tc>
          <w:tcPr/>
          <w:p>
            <w:pPr>
              <w:pStyle w:val="Compact"/>
            </w:pPr>
            <w:r>
              <w:t xml:space="preserve">Satu titik akuntabilitas, SLA mudah seragam</w:t>
            </w:r>
          </w:p>
        </w:tc>
        <w:tc>
          <w:tcPr/>
          <w:p>
            <w:pPr>
              <w:pStyle w:val="Compact"/>
            </w:pPr>
            <w:r>
              <w:t xml:space="preserve">SLA bervariasi; butuh standardisasi eksplisit</w:t>
            </w:r>
          </w:p>
        </w:tc>
      </w:tr>
      <w:tr>
        <w:tc>
          <w:tcPr/>
          <w:p>
            <w:pPr>
              <w:pStyle w:val="Compact"/>
            </w:pPr>
            <w:r>
              <w:t xml:space="preserve">Kompleksitas admin</w:t>
            </w:r>
          </w:p>
        </w:tc>
        <w:tc>
          <w:tcPr/>
          <w:p>
            <w:pPr>
              <w:pStyle w:val="Compact"/>
            </w:pPr>
            <w:r>
              <w:t xml:space="preserve">Sederhana: satu kontrak, satu siklus tagihan</w:t>
            </w:r>
          </w:p>
        </w:tc>
        <w:tc>
          <w:tcPr/>
          <w:p>
            <w:pPr>
              <w:pStyle w:val="Compact"/>
            </w:pPr>
            <w:r>
              <w:t xml:space="preserve">Rumit: banyak kontrak dan format tagihan</w:t>
            </w:r>
          </w:p>
        </w:tc>
      </w:tr>
      <w:tr>
        <w:tc>
          <w:tcPr/>
          <w:p>
            <w:pPr>
              <w:pStyle w:val="Compact"/>
            </w:pPr>
            <w:r>
              <w:t xml:space="preserve">Risiko kontinuitas</w:t>
            </w:r>
          </w:p>
        </w:tc>
        <w:tc>
          <w:tcPr/>
          <w:p>
            <w:pPr>
              <w:pStyle w:val="Compact"/>
            </w:pPr>
            <w:r>
              <w:t xml:space="preserve">Terpusat (</w:t>
            </w:r>
            <w:r>
              <w:rPr>
                <w:i/>
                <w:iCs/>
              </w:rPr>
              <w:t xml:space="preserve">single point of failure</w:t>
            </w:r>
            <w:r>
              <w:t xml:space="preserve">)</w:t>
            </w:r>
          </w:p>
        </w:tc>
        <w:tc>
          <w:tcPr/>
          <w:p>
            <w:pPr>
              <w:pStyle w:val="Compact"/>
            </w:pPr>
            <w:r>
              <w:t xml:space="preserve">Redundansi; satu gangguan tak melumpuhkan semua</w:t>
            </w:r>
          </w:p>
        </w:tc>
      </w:tr>
      <w:tr>
        <w:tc>
          <w:tcPr/>
          <w:p>
            <w:pPr>
              <w:pStyle w:val="Compact"/>
            </w:pPr>
            <w:r>
              <w:t xml:space="preserve">Jangkauan geografis</w:t>
            </w:r>
          </w:p>
        </w:tc>
        <w:tc>
          <w:tcPr/>
          <w:p>
            <w:pPr>
              <w:pStyle w:val="Compact"/>
            </w:pPr>
            <w:r>
              <w:t xml:space="preserve">Terbatas pada wilayah operasional vendor</w:t>
            </w:r>
          </w:p>
        </w:tc>
        <w:tc>
          <w:tcPr/>
          <w:p>
            <w:pPr>
              <w:pStyle w:val="Compact"/>
            </w:pPr>
            <w:r>
              <w:t xml:space="preserve">Menutup blank spot yang tak terjangkau satu vendor</w:t>
            </w:r>
          </w:p>
        </w:tc>
      </w:tr>
      <w:tr>
        <w:tc>
          <w:tcPr/>
          <w:p>
            <w:pPr>
              <w:pStyle w:val="Compact"/>
            </w:pPr>
            <w:r>
              <w:t xml:space="preserve">Visibilitas data</w:t>
            </w:r>
          </w:p>
        </w:tc>
        <w:tc>
          <w:tcPr/>
          <w:p>
            <w:pPr>
              <w:pStyle w:val="Compact"/>
            </w:pPr>
            <w:r>
              <w:t xml:space="preserve">Satu sumber data konsumsi</w:t>
            </w:r>
          </w:p>
        </w:tc>
        <w:tc>
          <w:tcPr/>
          <w:p>
            <w:pPr>
              <w:pStyle w:val="Compact"/>
            </w:pPr>
            <w:r>
              <w:t xml:space="preserve">Butuh integrasi agar terbaca dalam satu dasbor</w:t>
            </w:r>
          </w:p>
        </w:tc>
      </w:tr>
    </w:tbl>
    <w:p>
      <w:pPr>
        <w:pStyle w:val="BodyText"/>
      </w:pPr>
      <w:r>
        <w:rPr>
          <w:i/>
          <w:iCs/>
        </w:rPr>
        <w:t xml:space="preserve">[Image 02: Infografik dua kolom berdampingan, kiri</w:t>
      </w:r>
      <w:r>
        <w:rPr>
          <w:i/>
          <w:iCs/>
        </w:rPr>
        <w:t xml:space="preserve"> </w:t>
      </w:r>
      <w:r>
        <w:rPr>
          <w:i/>
          <w:iCs/>
        </w:rPr>
        <w:t xml:space="preserve">“Single Vendor”</w:t>
      </w:r>
      <w:r>
        <w:rPr>
          <w:i/>
          <w:iCs/>
        </w:rPr>
        <w:t xml:space="preserve"> </w:t>
      </w:r>
      <w:r>
        <w:rPr>
          <w:i/>
          <w:iCs/>
        </w:rPr>
        <w:t xml:space="preserve">dan kanan</w:t>
      </w:r>
      <w:r>
        <w:rPr>
          <w:i/>
          <w:iCs/>
        </w:rPr>
        <w:t xml:space="preserve"> </w:t>
      </w:r>
      <w:r>
        <w:rPr>
          <w:i/>
          <w:iCs/>
        </w:rPr>
        <w:t xml:space="preserve">“Multi Vendor”</w:t>
      </w:r>
      <w:r>
        <w:rPr>
          <w:i/>
          <w:iCs/>
        </w:rPr>
        <w:t xml:space="preserve">, masing-masing lima baris ikon (harga, SLA, risiko, kompleksitas, jangkauan) berlabel hijau atau kuning sesuai kekuatan-kelemahan. Gaya flat korporat biru-hijau, mudah di-screenshot untuk dibagikan di chat tim procurement. Teks Bahasa Indonesia. Alt-text: perbandingan single vendor vs multi vendor untuk pasokan CNG multi-lokasi.]</w:t>
      </w:r>
    </w:p>
    <w:bookmarkEnd w:id="20"/>
    <w:bookmarkStart w:id="21" w:name="X2e3f88b568d8dd75dcc9ea6e807f425f45633eb"/>
    <w:p>
      <w:pPr>
        <w:pStyle w:val="Heading2"/>
      </w:pPr>
      <w:r>
        <w:t xml:space="preserve">Kontrak Payung &amp; Konsolidasi: Menyeragamkan Banyak Titik</w:t>
      </w:r>
    </w:p>
    <w:p>
      <w:pPr>
        <w:pStyle w:val="FirstParagraph"/>
      </w:pPr>
      <w:r>
        <w:t xml:space="preserve">Kontrak payung (</w:t>
      </w:r>
      <w:r>
        <w:rPr>
          <w:i/>
          <w:iCs/>
        </w:rPr>
        <w:t xml:space="preserve">framework agreement</w:t>
      </w:r>
      <w:r>
        <w:t xml:space="preserve">) adalah perjanjian berbasis harga satuan induk yang berlaku untuk periode tertentu, sementara volume pesanan ditentukan belakangan sesuai kebutuhan. Istilah ini berasal dari pengadaan pemerintah (LKPP); grup usaha swasta tidak terikat aturannya, tapi bisa meminjam konsepnya untuk menyeragamkan harga, syarat, dan SLA di banyak cabang sekaligus.</w:t>
      </w:r>
    </w:p>
    <w:p>
      <w:pPr>
        <w:pStyle w:val="BodyText"/>
      </w:pPr>
      <w:r>
        <w:t xml:space="preserve">Di sektor publik, LKPP terus mendorong pola ini; pada 2025 ia menandatangani kontrak payung konsolidasi untuk kebutuhan rutin lintas unit dalam sosialisasi Perpres 46/2025 (JDIH LKPP, 2025). Semangatnya sama dengan kebutuhan grup swasta: satu kerangka induk, banyak pemesanan per lokasi. Bedanya, di ranah swasta ini murni kesepakatan bisnis, tanpa payung regulasi yang mengikat. Langkah menyusunnya, ringkasnya:</w:t>
      </w:r>
    </w:p>
    <w:p>
      <w:pPr>
        <w:pStyle w:val="Compact"/>
        <w:numPr>
          <w:ilvl w:val="0"/>
          <w:numId w:val="1002"/>
        </w:numPr>
      </w:pPr>
      <w:r>
        <w:rPr>
          <w:b/>
          <w:bCs/>
        </w:rPr>
        <w:t xml:space="preserve">Petakan setiap lokasi.</w:t>
      </w:r>
      <w:r>
        <w:t xml:space="preserve"> </w:t>
      </w:r>
      <w:r>
        <w:t xml:space="preserve">Catat volume, tekanan, jam operasi, dan karakteristik akses tiap titik.</w:t>
      </w:r>
    </w:p>
    <w:p>
      <w:pPr>
        <w:pStyle w:val="Compact"/>
        <w:numPr>
          <w:ilvl w:val="0"/>
          <w:numId w:val="1002"/>
        </w:numPr>
      </w:pPr>
      <w:r>
        <w:rPr>
          <w:b/>
          <w:bCs/>
        </w:rPr>
        <w:t xml:space="preserve">Tetapkan ruang lingkup induk.</w:t>
      </w:r>
      <w:r>
        <w:t xml:space="preserve"> </w:t>
      </w:r>
      <w:r>
        <w:t xml:space="preserve">Tentukan harga dan syarat yang berlaku sama di semua lokasi, serta yang boleh menyesuaikan per wilayah (misalnya komponen logistik).</w:t>
      </w:r>
    </w:p>
    <w:p>
      <w:pPr>
        <w:pStyle w:val="Compact"/>
        <w:numPr>
          <w:ilvl w:val="0"/>
          <w:numId w:val="1002"/>
        </w:numPr>
      </w:pPr>
      <w:r>
        <w:rPr>
          <w:b/>
          <w:bCs/>
        </w:rPr>
        <w:t xml:space="preserve">Standardisasi klausul SLA inti</w:t>
      </w:r>
      <w:r>
        <w:t xml:space="preserve">: waktu respons, ambang volume minimum sebelum pengisian ulang, dan mekanisme eskalasi.</w:t>
      </w:r>
    </w:p>
    <w:p>
      <w:pPr>
        <w:pStyle w:val="Compact"/>
        <w:numPr>
          <w:ilvl w:val="0"/>
          <w:numId w:val="1002"/>
        </w:numPr>
      </w:pPr>
      <w:r>
        <w:rPr>
          <w:b/>
          <w:bCs/>
        </w:rPr>
        <w:t xml:space="preserve">Sepakati tagihan konsolidasi</w:t>
      </w:r>
      <w:r>
        <w:t xml:space="preserve">: satu invoice induk dengan rincian per lokasi, bukan tagihan terpisah-pisah.</w:t>
      </w:r>
    </w:p>
    <w:p>
      <w:pPr>
        <w:pStyle w:val="Compact"/>
        <w:numPr>
          <w:ilvl w:val="0"/>
          <w:numId w:val="1002"/>
        </w:numPr>
      </w:pPr>
      <w:r>
        <w:rPr>
          <w:b/>
          <w:bCs/>
        </w:rPr>
        <w:t xml:space="preserve">Atur mekanisme pemesanan per lokasi</w:t>
      </w:r>
      <w:r>
        <w:t xml:space="preserve"> </w:t>
      </w:r>
      <w:r>
        <w:t xml:space="preserve">(</w:t>
      </w:r>
      <w:r>
        <w:rPr>
          <w:i/>
          <w:iCs/>
        </w:rPr>
        <w:t xml:space="preserve">call-off order</w:t>
      </w:r>
      <w:r>
        <w:t xml:space="preserve">), termasuk siapa yang berwenang memesan di tiap cabang.</w:t>
      </w:r>
    </w:p>
    <w:p>
      <w:pPr>
        <w:pStyle w:val="Compact"/>
        <w:numPr>
          <w:ilvl w:val="0"/>
          <w:numId w:val="1002"/>
        </w:numPr>
      </w:pPr>
      <w:r>
        <w:rPr>
          <w:b/>
          <w:bCs/>
        </w:rPr>
        <w:t xml:space="preserve">Jadikan dasbor pemantauan sebagai syarat operasional</w:t>
      </w:r>
      <w:r>
        <w:t xml:space="preserve">, bukan fitur tambahan.</w:t>
      </w:r>
    </w:p>
    <w:p>
      <w:pPr>
        <w:pStyle w:val="FirstParagraph"/>
      </w:pPr>
      <w:r>
        <w:t xml:space="preserve">Konsolidasi paling rapi ketika pencatatan berbasis pemakaian aktual, bukan estimasi. Selisih antar cabang jadi lebih mudah diaudit, dan procurement pusat punya satu sumber kebenaran untuk seluruh portofolio.</w:t>
      </w:r>
    </w:p>
    <w:p>
      <w:pPr>
        <w:pStyle w:val="BodyText"/>
      </w:pPr>
      <w:r>
        <w:rPr>
          <w:i/>
          <w:iCs/>
        </w:rPr>
        <w:t xml:space="preserve">[Image 03: Timeline horizontal bernomor 1–6 untuk menyusun kontrak payung dan konsolidasi pasokan; tiap tahap dengan ikon berbeda (peta lokasi, dokumen kontrak induk, gerbang SLA, invoice konsolidasi, tiket pemesanan/call-off, dasbor monitor). Gaya flat-illustration korporat, warna biru-hijau progresif. Teks Bahasa Indonesia. Alt-text: enam langkah menyusun kontrak payung dan konsolidasi pasokan CNG multi-lokasi.]</w:t>
      </w:r>
    </w:p>
    <w:bookmarkEnd w:id="21"/>
    <w:bookmarkStart w:id="22" w:name="Xf803efd20478da38a31770d3b4c3c8a45c731fa"/>
    <w:p>
      <w:pPr>
        <w:pStyle w:val="Heading2"/>
      </w:pPr>
      <w:r>
        <w:t xml:space="preserve">Bagaimana Memantau Konsumsi Semua Lokasi dari Satu Dasbor?</w:t>
      </w:r>
    </w:p>
    <w:p>
      <w:pPr>
        <w:pStyle w:val="FirstParagraph"/>
      </w:pPr>
      <w:r>
        <w:t xml:space="preserve">Pemantauan terpusat mengandalkan telemetri: sensor IoT di tiap lokasi mengirim data sisa volume dan tekanan secara real-time ke satu dasbor. Dari sana, sistem bisa menjadwalkan pengisian ulang otomatis sebelum ada cabang kehabisan, sekaligus membandingkan konsumsi antar lokasi untuk menemukan anomali. Visibilitas inilah yang mengubah banyak titik terpisah menjadi satu portofolio yang benar-benar terkelola.</w:t>
      </w:r>
    </w:p>
    <w:p>
      <w:pPr>
        <w:pStyle w:val="BodyText"/>
      </w:pPr>
      <w:r>
        <w:t xml:space="preserve">Nilai telemetri bukan pada dasbornya yang rapi, melainkan pada keputusan yang bisa diambil lebih awal. Ketika procurement pusat melihat satu cabang mendekati ambang minimum, pengiriman dijadwalkan sebelum operasi terganggu, bukan setelah dapur atau lini produksi berhenti. Sebagai contoh, PGN Gagas menjalankan Sistem Pemantauan Telemetri berbasis IoT pada layanan CNG-nya: mengukur sisa volume dan tekanan real-time di lokasi pelanggan lalu mengotomatisasi jadwal pengisian ulang. Kapabilitas seperti ini paling terasa pada skala portofolio, saat belasan titik harus dilihat sekaligus.</w:t>
      </w:r>
    </w:p>
    <w:p>
      <w:pPr>
        <w:pStyle w:val="BodyText"/>
      </w:pPr>
      <w:r>
        <w:t xml:space="preserve">Satu catatan jujur: dasbor sepintar apa pun tak menggantikan kontrak yang jelas. Tanpa SLA dan titik akuntabilitas yang disepakati lebih dulu, data yang ramai tetap sulit ditindaklanjuti. Disiplin ini juga sejalan dengan kebijakan energi nasional: lewat PP 33/2023, pengguna energi skala besar (setara ≥6.000 TOE per tahun) wajib menerapkan manajemen energi terstruktur (Kementerian ESDM). Intinya sederhana: energi yang tak terukur sulit dikelola.</w:t>
      </w:r>
    </w:p>
    <w:bookmarkEnd w:id="22"/>
    <w:bookmarkStart w:id="24" w:name="X77f0998932b68e98f67a0db6b1a70d32924a43a"/>
    <w:p>
      <w:pPr>
        <w:pStyle w:val="Heading2"/>
      </w:pPr>
      <w:r>
        <w:t xml:space="preserve">Kapan Multi-Vendor Justru Lebih Aman daripada Satu Vendor</w:t>
      </w:r>
    </w:p>
    <w:p>
      <w:pPr>
        <w:pStyle w:val="FirstParagraph"/>
      </w:pPr>
      <w:r>
        <w:t xml:space="preserve">Konsolidasi tidak selalu paling murah atau paling aman. Ketika lokasi tersebar melampaui wilayah operasional satu penyedia, memaksakan satu vendor berarti sebagian cabang dilayani seadanya atau lewat subkontraktor. Multi-vendor lebih masuk akal saat sebaran geografis lebar, saat satu titik pernah beberapa kali terganggu, atau saat kontinuitas pasokan bernilai lebih tinggi daripada kesederhanaan administrasi.</w:t>
      </w:r>
    </w:p>
    <w:p>
      <w:pPr>
        <w:pStyle w:val="BodyText"/>
      </w:pPr>
      <w:r>
        <w:t xml:space="preserve">Pegangannya kualitatif, bukan angka pasti; tak ada rumus</w:t>
      </w:r>
      <w:r>
        <w:t xml:space="preserve"> </w:t>
      </w:r>
      <w:r>
        <w:t xml:space="preserve">“di atas sekian kilometer pakai multi-vendor”</w:t>
      </w:r>
      <w:r>
        <w:t xml:space="preserve">. Pertanyaan yang lebih berguna: apakah satu penyedia benar-benar menjangkau semua lokasi Anda dengan SLA yang sama? Bila ada blank spot, redundansi vendor kedua sering lebih murah daripada risiko satu cabang berhenti beroperasi.</w:t>
      </w:r>
    </w:p>
    <w:p>
      <w:pPr>
        <w:pStyle w:val="BodyText"/>
      </w:pPr>
      <w:r>
        <w:t xml:space="preserve">Konsekuensinya harus diterima. Multi-vendor menambah kontrak, format tagihan, dan titik koordinasi. Tanpa disiplin standardisasi (klausul SLA seragam dan data yang terbaca dalam satu dasbor), keuntungan redundansi bisa termakan kekacauan administrasi. Banyak grup akhirnya memilih pola hibrida: satu vendor utama untuk wilayah inti, vendor pelengkap untuk lokasi terpencil. Portofolio energi grup pun jarang berhenti di lokasi stasioner; armada dan logistik kerap ikut dihitung, dan di sisi itu</w:t>
      </w:r>
      <w:r>
        <w:t xml:space="preserve"> </w:t>
      </w:r>
      <w:hyperlink r:id="rId23">
        <w:r>
          <w:rPr>
            <w:rStyle w:val="Hyperlink"/>
          </w:rPr>
          <w:t xml:space="preserve">Gasku untuk armada transportasi</w:t>
        </w:r>
      </w:hyperlink>
      <w:r>
        <w:t xml:space="preserve"> </w:t>
      </w:r>
      <w:r>
        <w:t xml:space="preserve">melengkapi manajemen energi grup dari sisi bahan bakar kendaraan.</w:t>
      </w:r>
    </w:p>
    <w:bookmarkEnd w:id="24"/>
    <w:bookmarkStart w:id="30" w:name="faq-pertanyaan-yang-sering-diajukan"/>
    <w:p>
      <w:pPr>
        <w:pStyle w:val="Heading2"/>
      </w:pPr>
      <w:r>
        <w:t xml:space="preserve">FAQ (Pertanyaan yang Sering Diajukan)</w:t>
      </w:r>
    </w:p>
    <w:bookmarkStart w:id="25" w:name="X2d811590673c6a0195223a9ccf0dc70b0d142a4"/>
    <w:p>
      <w:pPr>
        <w:pStyle w:val="Heading3"/>
      </w:pPr>
      <w:r>
        <w:t xml:space="preserve">Lebih baik satu vendor atau banyak vendor untuk pasokan gas di banyak lokasi?</w:t>
      </w:r>
    </w:p>
    <w:p>
      <w:pPr>
        <w:pStyle w:val="FirstParagraph"/>
      </w:pPr>
      <w:r>
        <w:t xml:space="preserve">Tidak ada jawaban tunggal; ini trade-off. Satu vendor memberi harga terkonsolidasi, SLA seragam, dan satu titik akuntabilitas, tapi menaruh semua risiko pada satu pihak. Banyak vendor memberi redundansi dan jangkauan lebih luas, dengan kontrak serta data yang lebih rumit. Survei CPO global Deloitte 2025 mencatat 74% pimpinan procurement mengandalkan diversifikasi pemasok sebagai mitigasi risiko.</w:t>
      </w:r>
    </w:p>
    <w:bookmarkEnd w:id="25"/>
    <w:bookmarkStart w:id="26" w:name="apa-itu-kontrak-payung-dalam-pengadaan"/>
    <w:p>
      <w:pPr>
        <w:pStyle w:val="Heading3"/>
      </w:pPr>
      <w:r>
        <w:t xml:space="preserve">Apa itu kontrak payung dalam pengadaan?</w:t>
      </w:r>
    </w:p>
    <w:p>
      <w:pPr>
        <w:pStyle w:val="FirstParagraph"/>
      </w:pPr>
      <w:r>
        <w:t xml:space="preserve">Kontrak payung (</w:t>
      </w:r>
      <w:r>
        <w:rPr>
          <w:i/>
          <w:iCs/>
        </w:rPr>
        <w:t xml:space="preserve">framework agreement</w:t>
      </w:r>
      <w:r>
        <w:t xml:space="preserve">) adalah perjanjian harga satuan induk untuk periode tertentu, dengan volume pesanan ditentukan belakangan sesuai kebutuhan. Istilah ini berasal dari pengadaan pemerintah (LKPP) untuk kebutuhan rutin bervolume tak pasti. Sektor swasta bisa memakai konsep serupa, tapi tanpa payung regulasi yang sama persis.</w:t>
      </w:r>
    </w:p>
    <w:bookmarkEnd w:id="26"/>
    <w:bookmarkStart w:id="27" w:name="X5bed10cd3068170a7e58d1133cedf81126b4b42"/>
    <w:p>
      <w:pPr>
        <w:pStyle w:val="Heading3"/>
      </w:pPr>
      <w:r>
        <w:t xml:space="preserve">Bagaimana menyatukan tagihan energi antar cabang dalam satu grup usaha?</w:t>
      </w:r>
    </w:p>
    <w:p>
      <w:pPr>
        <w:pStyle w:val="FirstParagraph"/>
      </w:pPr>
      <w:r>
        <w:t xml:space="preserve">Mulai dari menyepakati satu format dan siklus tagihan induk di procurement pusat, dengan rincian pemakaian per lokasi sebagai lampiran, bukan invoice terpisah-pisah. Pencatatan berbasis pemakaian aktual, misalnya lewat smart meter, membuat rekap antar cabang lebih akurat dan mudah diaudit, sehingga tersedia satu sumber kebenaran untuk seluruh portofolio.</w:t>
      </w:r>
    </w:p>
    <w:bookmarkEnd w:id="27"/>
    <w:bookmarkStart w:id="28" w:name="Xf290ee919afa5ca4b01fe41bcd1d0dcad891f66"/>
    <w:p>
      <w:pPr>
        <w:pStyle w:val="Heading3"/>
      </w:pPr>
      <w:r>
        <w:t xml:space="preserve">Bagaimana memantau konsumsi gas di banyak lokasi sekaligus?</w:t>
      </w:r>
    </w:p>
    <w:p>
      <w:pPr>
        <w:pStyle w:val="FirstParagraph"/>
      </w:pPr>
      <w:r>
        <w:t xml:space="preserve">Pemantauan terpusat mengandalkan telemetri: sensor IoT di tiap lokasi mengirim data sisa volume dan tekanan real-time ke satu dasbor. Sistem semacam ini memungkinkan penjadwalan pengisian ulang otomatis sebelum lokasi kehabisan pasokan, sekaligus membandingkan konsumsi antar cabang dari satu titik kendali untuk mendeteksi anomali lebih dini.</w:t>
      </w:r>
    </w:p>
    <w:bookmarkEnd w:id="28"/>
    <w:bookmarkStart w:id="29" w:name="X15dd95e628f64800ec57cdc03cbd8b77c35a788"/>
    <w:p>
      <w:pPr>
        <w:pStyle w:val="Heading3"/>
      </w:pPr>
      <w:r>
        <w:t xml:space="preserve">Apakah satu penyedia CNG bisa melayani lokasi di banyak provinsi?</w:t>
      </w:r>
    </w:p>
    <w:p>
      <w:pPr>
        <w:pStyle w:val="FirstParagraph"/>
      </w:pPr>
      <w:r>
        <w:t xml:space="preserve">Tergantung jangkauan operasional penyedianya. Sebagian penyedia CNG</w:t>
      </w:r>
      <w:r>
        <w:t xml:space="preserve"> </w:t>
      </w:r>
      <w:r>
        <w:rPr>
          <w:i/>
          <w:iCs/>
        </w:rPr>
        <w:t xml:space="preserve">beyond-pipeline</w:t>
      </w:r>
      <w:r>
        <w:t xml:space="preserve"> </w:t>
      </w:r>
      <w:r>
        <w:t xml:space="preserve">sudah melayani lebih dari satu wilayah lewat model distribusi berbasis truk (GTM), tapi tidak semua menjangkau seluruh Indonesia. Untuk portofolio lintas-provinsi, konfirmasikan cakupan terkini dan riwayat layanan langsung ke calon penyedia, karena jangkauan tiap perusahaan CNG berbeda dan dapat berubah.</w:t>
      </w:r>
    </w:p>
    <w:bookmarkEnd w:id="29"/>
    <w:bookmarkEnd w:id="30"/>
    <w:bookmarkStart w:id="31" w:name="kesimpulan"/>
    <w:p>
      <w:pPr>
        <w:pStyle w:val="Heading2"/>
      </w:pPr>
      <w:r>
        <w:t xml:space="preserve">Kesimpulan</w:t>
      </w:r>
    </w:p>
    <w:p>
      <w:pPr>
        <w:pStyle w:val="FirstParagraph"/>
      </w:pPr>
      <w:r>
        <w:t xml:space="preserve">Mengelola pasokan CNG banyak lokasi pada akhirnya soal tata kelola, bukan sekadar harga per titik. Grup usaha yang menang biasanya menetapkan lebih dulu: struktur vendor yang pas, kontrak induk yang menyeragamkan SLA, tagihan terkonsolidasi, dan dasbor yang membuat semua titik terlihat. Teknologi pemantauan menyusul sebagai penguat, bukan pengganti disiplin itu. Sebagai anak usaha PGN yang merupakan bagian dari Subholding Gas Pertamina, PGN Gagas menyalurkan gas bumi ke pelanggan industri dan komersial lewat solusi CNG</w:t>
      </w:r>
      <w:r>
        <w:t xml:space="preserve"> </w:t>
      </w:r>
      <w:r>
        <w:rPr>
          <w:i/>
          <w:iCs/>
        </w:rPr>
        <w:t xml:space="preserve">beyond-pipeline</w:t>
      </w:r>
      <w:r>
        <w:t xml:space="preserve">, dilengkapi pemantauan telemetri untuk melihat banyak lokasi secara terpusat. Bila Anda menata pasokan grup, mulailah dari penilaian kebutuhan tiap cabang, bukan dari kontrak satu titik.</w:t>
      </w:r>
    </w:p>
    <w:p>
      <w:pPr>
        <w:pStyle w:val="BodyText"/>
      </w:pPr>
      <w:r>
        <w:t xml:space="preserve">Untuk mendiskusikan strategi pasokan multi-lokasi dan menilai perusahaan CNG Indonesia yang tepat bagi grup usaha Anda, kunjungi gagas.co.id.</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ku/" TargetMode="External" /><Relationship Type="http://schemas.openxmlformats.org/officeDocument/2006/relationships/hyperlink" Id="rId18" Target="https://gagas.co.id/gaslink/" TargetMode="External" /><Relationship Type="http://schemas.openxmlformats.org/officeDocument/2006/relationships/hyperlink" Id="rId17"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ku/" TargetMode="External" /><Relationship Type="http://schemas.openxmlformats.org/officeDocument/2006/relationships/hyperlink" Id="rId18" Target="https://gagas.co.id/gaslink/" TargetMode="External" /><Relationship Type="http://schemas.openxmlformats.org/officeDocument/2006/relationships/hyperlink" Id="rId17"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2026-08-11T07:59:17Z</dcterms:created>
  <dcterms:modified xsi:type="dcterms:W3CDTF">2026-08-11T07:59:17Z</dcterms:modified>
</cp:coreProperties>
</file>

<file path=docProps/custom.xml><?xml version="1.0" encoding="utf-8"?>
<Properties xmlns="http://schemas.openxmlformats.org/officeDocument/2006/custom-properties" xmlns:vt="http://schemas.openxmlformats.org/officeDocument/2006/docPropsVTypes"/>
</file>